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F4E" w:rsidRPr="002112D3" w:rsidRDefault="00206F4E" w:rsidP="00206F4E">
      <w:pPr>
        <w:spacing w:after="0" w:line="276" w:lineRule="auto"/>
        <w:jc w:val="both"/>
        <w:rPr>
          <w:rFonts w:ascii="Arial" w:eastAsia="Times New Roman" w:hAnsi="Arial" w:cs="Arial"/>
          <w:b/>
          <w:bCs/>
          <w:sz w:val="20"/>
          <w:szCs w:val="20"/>
          <w:lang w:eastAsia="cs-CZ"/>
        </w:rPr>
      </w:pPr>
      <w:bookmarkStart w:id="0" w:name="_GoBack"/>
      <w:bookmarkEnd w:id="0"/>
      <w:r w:rsidRPr="002112D3">
        <w:rPr>
          <w:rFonts w:ascii="Arial" w:eastAsia="Times New Roman" w:hAnsi="Arial" w:cs="Arial"/>
          <w:b/>
          <w:bCs/>
          <w:sz w:val="20"/>
          <w:szCs w:val="20"/>
          <w:lang w:eastAsia="cs-CZ"/>
        </w:rPr>
        <w:t xml:space="preserve">Veřejnoprávní smlouva </w:t>
      </w:r>
    </w:p>
    <w:p w:rsidR="00206F4E" w:rsidRPr="002112D3" w:rsidRDefault="00206F4E" w:rsidP="00206F4E">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o poskytnutí účelové dotace z Fondu sociální pomoci a prevence města Uherské Hradiště</w:t>
      </w:r>
    </w:p>
    <w:p w:rsidR="00206F4E" w:rsidRPr="002112D3" w:rsidRDefault="00206F4E" w:rsidP="00206F4E">
      <w:pPr>
        <w:spacing w:after="0" w:line="276" w:lineRule="auto"/>
        <w:jc w:val="both"/>
        <w:rPr>
          <w:rFonts w:ascii="Arial" w:eastAsia="Times New Roman" w:hAnsi="Arial" w:cs="Arial"/>
          <w:b/>
          <w:bCs/>
          <w:sz w:val="20"/>
          <w:szCs w:val="20"/>
          <w:lang w:eastAsia="cs-CZ"/>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uzavřená dle § 159 a násl. zákona č. 500/2004 Sb., správní řád, ve znění pozdějších předpisů</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both"/>
        <w:rPr>
          <w:rFonts w:ascii="Arial" w:hAnsi="Arial" w:cs="Arial"/>
          <w:b/>
          <w:bCs/>
          <w:sz w:val="20"/>
          <w:szCs w:val="20"/>
        </w:rPr>
      </w:pPr>
      <w:r w:rsidRPr="002112D3">
        <w:rPr>
          <w:rFonts w:ascii="Arial" w:hAnsi="Arial" w:cs="Arial"/>
          <w:b/>
          <w:bCs/>
          <w:sz w:val="20"/>
          <w:szCs w:val="20"/>
        </w:rPr>
        <w:t>mezi smluvními stranami</w:t>
      </w:r>
    </w:p>
    <w:p w:rsidR="00206F4E" w:rsidRPr="002112D3" w:rsidRDefault="00206F4E" w:rsidP="00206F4E">
      <w:pPr>
        <w:widowControl w:val="0"/>
        <w:spacing w:after="0" w:line="276" w:lineRule="auto"/>
        <w:jc w:val="both"/>
        <w:rPr>
          <w:rFonts w:ascii="Arial" w:hAnsi="Arial" w:cs="Arial"/>
          <w:sz w:val="20"/>
          <w:szCs w:val="20"/>
        </w:rPr>
      </w:pP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b/>
          <w:bCs/>
          <w:sz w:val="20"/>
          <w:szCs w:val="20"/>
        </w:rPr>
        <w:t>1</w:t>
      </w:r>
      <w:r w:rsidRPr="002112D3">
        <w:rPr>
          <w:rFonts w:ascii="Arial" w:hAnsi="Arial" w:cs="Arial"/>
          <w:b/>
          <w:sz w:val="20"/>
          <w:szCs w:val="20"/>
        </w:rPr>
        <w:t>.</w:t>
      </w: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Město Uherské Hradiště</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se sídlem Masarykovo náměstí 19, Uherské Hradiště, PSČ 686 01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IČ 002 91 471</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zastoupené Ing. Stanislavem Blahou, starostou města</w:t>
      </w:r>
    </w:p>
    <w:p w:rsidR="00206F4E" w:rsidRPr="002112D3" w:rsidRDefault="00206F4E" w:rsidP="00206F4E">
      <w:pPr>
        <w:widowControl w:val="0"/>
        <w:tabs>
          <w:tab w:val="left" w:pos="360"/>
        </w:tabs>
        <w:spacing w:after="0" w:line="276" w:lineRule="auto"/>
        <w:jc w:val="both"/>
        <w:rPr>
          <w:rFonts w:ascii="Arial" w:hAnsi="Arial" w:cs="Arial"/>
          <w:sz w:val="20"/>
          <w:szCs w:val="20"/>
        </w:rPr>
      </w:pPr>
      <w:r w:rsidRPr="002112D3">
        <w:rPr>
          <w:rFonts w:ascii="Arial" w:hAnsi="Arial" w:cs="Arial"/>
          <w:sz w:val="20"/>
          <w:szCs w:val="20"/>
        </w:rPr>
        <w:tab/>
        <w:t>bankovní spojení: 1422868349/0800</w:t>
      </w: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(dále jen Poskytovatel)</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p>
    <w:p w:rsidR="00206F4E"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b/>
          <w:bCs/>
          <w:sz w:val="20"/>
          <w:szCs w:val="20"/>
        </w:rPr>
        <w:tab/>
      </w:r>
      <w:r>
        <w:rPr>
          <w:rFonts w:ascii="Arial" w:hAnsi="Arial" w:cs="Arial"/>
          <w:b/>
          <w:bCs/>
          <w:sz w:val="20"/>
          <w:szCs w:val="20"/>
        </w:rPr>
        <w:t>a</w:t>
      </w:r>
    </w:p>
    <w:p w:rsidR="00206F4E" w:rsidRPr="002112D3" w:rsidRDefault="00206F4E" w:rsidP="00206F4E">
      <w:pPr>
        <w:widowControl w:val="0"/>
        <w:tabs>
          <w:tab w:val="left" w:pos="360"/>
        </w:tabs>
        <w:spacing w:after="0" w:line="276" w:lineRule="auto"/>
        <w:jc w:val="both"/>
        <w:rPr>
          <w:rFonts w:ascii="Arial" w:hAnsi="Arial" w:cs="Arial"/>
          <w:sz w:val="20"/>
          <w:szCs w:val="20"/>
        </w:rPr>
      </w:pPr>
    </w:p>
    <w:p w:rsidR="00206F4E" w:rsidRPr="002112D3" w:rsidRDefault="00206F4E" w:rsidP="00206F4E">
      <w:pPr>
        <w:widowControl w:val="0"/>
        <w:tabs>
          <w:tab w:val="left" w:pos="360"/>
        </w:tabs>
        <w:spacing w:after="0" w:line="276" w:lineRule="auto"/>
        <w:jc w:val="both"/>
        <w:rPr>
          <w:rFonts w:ascii="Arial" w:hAnsi="Arial" w:cs="Arial"/>
          <w:bCs/>
          <w:sz w:val="20"/>
          <w:szCs w:val="20"/>
          <w:highlight w:val="yellow"/>
        </w:rPr>
      </w:pPr>
      <w:r w:rsidRPr="002112D3">
        <w:rPr>
          <w:rFonts w:ascii="Arial" w:hAnsi="Arial" w:cs="Arial"/>
          <w:b/>
          <w:bCs/>
          <w:caps/>
          <w:color w:val="000000" w:themeColor="text1"/>
          <w:sz w:val="20"/>
          <w:szCs w:val="20"/>
        </w:rPr>
        <w:t>2.</w:t>
      </w:r>
      <w:r w:rsidRPr="002112D3">
        <w:rPr>
          <w:rFonts w:ascii="Arial" w:hAnsi="Arial" w:cs="Arial"/>
          <w:b/>
          <w:bCs/>
          <w:caps/>
          <w:color w:val="000000" w:themeColor="text1"/>
          <w:sz w:val="20"/>
          <w:szCs w:val="20"/>
        </w:rPr>
        <w:tab/>
      </w:r>
      <w:r w:rsidRPr="002112D3">
        <w:rPr>
          <w:rFonts w:ascii="Arial" w:hAnsi="Arial" w:cs="Arial"/>
          <w:b/>
          <w:bCs/>
          <w:sz w:val="20"/>
          <w:szCs w:val="20"/>
          <w:highlight w:val="yellow"/>
        </w:rPr>
        <w:t>Fyzická osoba</w:t>
      </w:r>
      <w:r w:rsidRPr="002112D3">
        <w:rPr>
          <w:rFonts w:ascii="Arial" w:hAnsi="Arial" w:cs="Arial"/>
          <w:b/>
          <w:bCs/>
          <w:caps/>
          <w:sz w:val="20"/>
          <w:szCs w:val="20"/>
          <w:highlight w:val="yellow"/>
        </w:rPr>
        <w:t xml:space="preserve">: </w:t>
      </w:r>
      <w:r w:rsidRPr="002112D3">
        <w:rPr>
          <w:rFonts w:ascii="Arial" w:hAnsi="Arial" w:cs="Arial"/>
          <w:bCs/>
          <w:sz w:val="20"/>
          <w:szCs w:val="20"/>
          <w:highlight w:val="yellow"/>
        </w:rPr>
        <w:t xml:space="preserve">jméno a příjmení, bydliště: ulice, město, PSČ, </w:t>
      </w:r>
      <w:proofErr w:type="spellStart"/>
      <w:proofErr w:type="gramStart"/>
      <w:r w:rsidRPr="002112D3">
        <w:rPr>
          <w:rFonts w:ascii="Arial" w:hAnsi="Arial" w:cs="Arial"/>
          <w:bCs/>
          <w:sz w:val="20"/>
          <w:szCs w:val="20"/>
          <w:highlight w:val="yellow"/>
        </w:rPr>
        <w:t>r.č</w:t>
      </w:r>
      <w:proofErr w:type="spellEnd"/>
      <w:r w:rsidRPr="002112D3">
        <w:rPr>
          <w:rFonts w:ascii="Arial" w:hAnsi="Arial" w:cs="Arial"/>
          <w:bCs/>
          <w:sz w:val="20"/>
          <w:szCs w:val="20"/>
          <w:highlight w:val="yellow"/>
        </w:rPr>
        <w:t>.</w:t>
      </w:r>
      <w:proofErr w:type="gramEnd"/>
      <w:r w:rsidRPr="002112D3">
        <w:rPr>
          <w:rFonts w:ascii="Arial" w:hAnsi="Arial" w:cs="Arial"/>
          <w:bCs/>
          <w:sz w:val="20"/>
          <w:szCs w:val="20"/>
          <w:highlight w:val="yellow"/>
        </w:rPr>
        <w:t xml:space="preserve"> nebo datum narození</w:t>
      </w:r>
    </w:p>
    <w:p w:rsidR="00206F4E" w:rsidRPr="002112D3" w:rsidRDefault="00206F4E" w:rsidP="00206F4E">
      <w:pPr>
        <w:widowControl w:val="0"/>
        <w:tabs>
          <w:tab w:val="left" w:pos="360"/>
        </w:tabs>
        <w:spacing w:after="0" w:line="276" w:lineRule="auto"/>
        <w:jc w:val="both"/>
        <w:rPr>
          <w:rFonts w:ascii="Arial" w:hAnsi="Arial" w:cs="Arial"/>
          <w:bCs/>
          <w:caps/>
          <w:sz w:val="20"/>
          <w:szCs w:val="20"/>
          <w:highlight w:val="yellow"/>
        </w:rPr>
      </w:pPr>
      <w:r w:rsidRPr="002112D3">
        <w:rPr>
          <w:rFonts w:ascii="Arial" w:hAnsi="Arial" w:cs="Arial"/>
          <w:bCs/>
          <w:sz w:val="20"/>
          <w:szCs w:val="20"/>
          <w:highlight w:val="yellow"/>
        </w:rPr>
        <w:tab/>
      </w:r>
      <w:r w:rsidRPr="002112D3">
        <w:rPr>
          <w:rFonts w:ascii="Arial" w:hAnsi="Arial" w:cs="Arial"/>
          <w:b/>
          <w:bCs/>
          <w:sz w:val="20"/>
          <w:szCs w:val="20"/>
          <w:highlight w:val="yellow"/>
        </w:rPr>
        <w:t>Fyzická osoba podnikající</w:t>
      </w:r>
      <w:r w:rsidRPr="002112D3">
        <w:rPr>
          <w:rFonts w:ascii="Arial" w:hAnsi="Arial" w:cs="Arial"/>
          <w:bCs/>
          <w:sz w:val="20"/>
          <w:szCs w:val="20"/>
          <w:highlight w:val="yellow"/>
        </w:rPr>
        <w:t>:</w:t>
      </w:r>
      <w:r w:rsidRPr="002112D3">
        <w:rPr>
          <w:rFonts w:ascii="Arial" w:hAnsi="Arial" w:cs="Arial"/>
          <w:bCs/>
          <w:caps/>
          <w:sz w:val="20"/>
          <w:szCs w:val="20"/>
          <w:highlight w:val="yellow"/>
        </w:rPr>
        <w:t xml:space="preserve"> </w:t>
      </w:r>
      <w:r w:rsidRPr="002112D3">
        <w:rPr>
          <w:rFonts w:ascii="Arial" w:hAnsi="Arial" w:cs="Arial"/>
          <w:bCs/>
          <w:sz w:val="20"/>
          <w:szCs w:val="20"/>
          <w:highlight w:val="yellow"/>
        </w:rPr>
        <w:t xml:space="preserve">jméno a příjmení, sídlo: ulice, město, PSČ, IČ: </w:t>
      </w:r>
    </w:p>
    <w:p w:rsidR="00206F4E" w:rsidRPr="002112D3" w:rsidRDefault="00206F4E" w:rsidP="00206F4E">
      <w:pPr>
        <w:widowControl w:val="0"/>
        <w:tabs>
          <w:tab w:val="left" w:pos="360"/>
        </w:tabs>
        <w:spacing w:after="0" w:line="276" w:lineRule="auto"/>
        <w:jc w:val="both"/>
        <w:rPr>
          <w:rFonts w:ascii="Arial" w:hAnsi="Arial" w:cs="Arial"/>
          <w:b/>
          <w:bCs/>
          <w:sz w:val="20"/>
          <w:szCs w:val="20"/>
          <w:highlight w:val="yellow"/>
        </w:rPr>
      </w:pPr>
      <w:r w:rsidRPr="002112D3">
        <w:rPr>
          <w:rFonts w:ascii="Arial" w:hAnsi="Arial" w:cs="Arial"/>
          <w:b/>
          <w:bCs/>
          <w:caps/>
          <w:sz w:val="20"/>
          <w:szCs w:val="20"/>
          <w:highlight w:val="yellow"/>
        </w:rPr>
        <w:tab/>
      </w:r>
      <w:r w:rsidRPr="002112D3">
        <w:rPr>
          <w:rFonts w:ascii="Arial" w:hAnsi="Arial" w:cs="Arial"/>
          <w:b/>
          <w:bCs/>
          <w:sz w:val="20"/>
          <w:szCs w:val="20"/>
          <w:highlight w:val="yellow"/>
        </w:rPr>
        <w:t>Právnická osoba</w:t>
      </w:r>
      <w:r w:rsidRPr="002112D3">
        <w:rPr>
          <w:rFonts w:ascii="Arial" w:hAnsi="Arial" w:cs="Arial"/>
          <w:b/>
          <w:bCs/>
          <w:caps/>
          <w:sz w:val="20"/>
          <w:szCs w:val="20"/>
          <w:highlight w:val="yellow"/>
        </w:rPr>
        <w:t xml:space="preserve">: </w:t>
      </w:r>
      <w:r w:rsidRPr="002112D3">
        <w:rPr>
          <w:rFonts w:ascii="Arial" w:hAnsi="Arial" w:cs="Arial"/>
          <w:bCs/>
          <w:sz w:val="20"/>
          <w:szCs w:val="20"/>
          <w:highlight w:val="yellow"/>
        </w:rPr>
        <w:t>název společnosti</w:t>
      </w:r>
      <w:r w:rsidRPr="002112D3">
        <w:rPr>
          <w:rFonts w:ascii="Arial" w:hAnsi="Arial" w:cs="Arial"/>
          <w:b/>
          <w:bCs/>
          <w:sz w:val="20"/>
          <w:szCs w:val="20"/>
          <w:highlight w:val="yellow"/>
        </w:rPr>
        <w:t xml:space="preserve"> </w:t>
      </w:r>
      <w:r w:rsidRPr="002112D3">
        <w:rPr>
          <w:rFonts w:ascii="Arial" w:hAnsi="Arial" w:cs="Arial"/>
          <w:sz w:val="20"/>
          <w:szCs w:val="20"/>
          <w:highlight w:val="yellow"/>
        </w:rPr>
        <w:t>se sídlem ulice, město, PSČ</w:t>
      </w:r>
    </w:p>
    <w:p w:rsidR="00206F4E" w:rsidRPr="002112D3" w:rsidRDefault="00206F4E" w:rsidP="00206F4E">
      <w:pPr>
        <w:widowControl w:val="0"/>
        <w:spacing w:after="0" w:line="276" w:lineRule="auto"/>
        <w:ind w:left="360"/>
        <w:jc w:val="both"/>
        <w:rPr>
          <w:rFonts w:ascii="Arial" w:hAnsi="Arial" w:cs="Arial"/>
          <w:sz w:val="20"/>
          <w:szCs w:val="20"/>
          <w:highlight w:val="yellow"/>
        </w:rPr>
      </w:pPr>
      <w:proofErr w:type="gramStart"/>
      <w:r w:rsidRPr="002112D3">
        <w:rPr>
          <w:rFonts w:ascii="Arial" w:hAnsi="Arial" w:cs="Arial"/>
          <w:sz w:val="20"/>
          <w:szCs w:val="20"/>
          <w:highlight w:val="yellow"/>
        </w:rPr>
        <w:t>IČ...., zapsaná</w:t>
      </w:r>
      <w:proofErr w:type="gramEnd"/>
      <w:r w:rsidRPr="002112D3">
        <w:rPr>
          <w:rFonts w:ascii="Arial" w:hAnsi="Arial" w:cs="Arial"/>
          <w:sz w:val="20"/>
          <w:szCs w:val="20"/>
          <w:highlight w:val="yellow"/>
        </w:rPr>
        <w:t xml:space="preserve"> v obchodním rejstříku vedeném Krajským soudem v …., oddíl …, vložka… (podnikatel zapsaný v jiném veřejném rejstříku uvede údaj o svém zápisu do tohoto rejstříku; podnikatel nezapsaný ve veřejném rejstříku uvede údaj o svém zápisu do jiné evidence, nepodnikatelé neuvádí nic) </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highlight w:val="yellow"/>
        </w:rPr>
        <w:t>zastoupená</w:t>
      </w:r>
      <w:r w:rsidRPr="002112D3">
        <w:rPr>
          <w:rFonts w:ascii="Arial" w:hAnsi="Arial" w:cs="Arial"/>
          <w:sz w:val="20"/>
          <w:szCs w:val="20"/>
        </w:rPr>
        <w:t xml:space="preserve"> </w:t>
      </w:r>
    </w:p>
    <w:p w:rsidR="00206F4E" w:rsidRPr="002112D3" w:rsidRDefault="00206F4E" w:rsidP="00206F4E">
      <w:pPr>
        <w:widowControl w:val="0"/>
        <w:spacing w:after="0" w:line="276" w:lineRule="auto"/>
        <w:ind w:left="360"/>
        <w:jc w:val="both"/>
        <w:rPr>
          <w:rFonts w:ascii="Arial" w:hAnsi="Arial" w:cs="Arial"/>
          <w:sz w:val="20"/>
          <w:szCs w:val="20"/>
        </w:rPr>
      </w:pPr>
      <w:r w:rsidRPr="002112D3">
        <w:rPr>
          <w:rFonts w:ascii="Arial" w:hAnsi="Arial" w:cs="Arial"/>
          <w:sz w:val="20"/>
          <w:szCs w:val="20"/>
        </w:rPr>
        <w:t xml:space="preserve">bankovní spojení: </w:t>
      </w:r>
      <w:r w:rsidRPr="002112D3">
        <w:rPr>
          <w:rFonts w:ascii="Arial" w:hAnsi="Arial" w:cs="Arial"/>
          <w:sz w:val="20"/>
          <w:szCs w:val="20"/>
          <w:highlight w:val="yellow"/>
        </w:rPr>
        <w:t>….</w:t>
      </w:r>
      <w:r w:rsidRPr="002112D3">
        <w:rPr>
          <w:rFonts w:ascii="Arial" w:hAnsi="Arial" w:cs="Arial"/>
          <w:sz w:val="20"/>
          <w:szCs w:val="20"/>
        </w:rPr>
        <w:t xml:space="preserve"> </w:t>
      </w:r>
    </w:p>
    <w:p w:rsidR="00206F4E" w:rsidRPr="002112D3" w:rsidRDefault="00206F4E" w:rsidP="00206F4E">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ab/>
      </w:r>
      <w:r w:rsidRPr="002112D3">
        <w:rPr>
          <w:rFonts w:ascii="Arial" w:hAnsi="Arial" w:cs="Arial"/>
          <w:b/>
          <w:bCs/>
          <w:sz w:val="20"/>
          <w:szCs w:val="20"/>
        </w:rPr>
        <w:t>(dále jen Příjemce)</w:t>
      </w:r>
    </w:p>
    <w:p w:rsidR="00206F4E" w:rsidRPr="002112D3" w:rsidRDefault="00206F4E" w:rsidP="00206F4E">
      <w:pPr>
        <w:keepNext/>
        <w:spacing w:after="120" w:line="276" w:lineRule="auto"/>
        <w:jc w:val="center"/>
        <w:outlineLvl w:val="4"/>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Čl. </w:t>
      </w:r>
      <w:r w:rsidRPr="002112D3">
        <w:rPr>
          <w:rFonts w:ascii="Arial" w:eastAsia="Times New Roman" w:hAnsi="Arial" w:cs="Arial"/>
          <w:b/>
          <w:bCs/>
          <w:sz w:val="20"/>
          <w:szCs w:val="20"/>
          <w:lang w:eastAsia="cs-CZ"/>
        </w:rPr>
        <w:t>I</w:t>
      </w:r>
    </w:p>
    <w:p w:rsidR="00206F4E" w:rsidRPr="002112D3" w:rsidRDefault="00206F4E" w:rsidP="00206F4E">
      <w:pPr>
        <w:keepNext/>
        <w:spacing w:after="120" w:line="276" w:lineRule="auto"/>
        <w:ind w:left="2829" w:firstLine="709"/>
        <w:jc w:val="both"/>
        <w:outlineLvl w:val="4"/>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Předmět a účel smlouvy</w:t>
      </w:r>
    </w:p>
    <w:p w:rsidR="00206F4E" w:rsidRPr="002112D3" w:rsidRDefault="00206F4E" w:rsidP="00206F4E">
      <w:pPr>
        <w:spacing w:after="0" w:line="276" w:lineRule="auto"/>
        <w:ind w:firstLine="364"/>
        <w:jc w:val="both"/>
        <w:rPr>
          <w:rFonts w:ascii="Arial" w:hAnsi="Arial" w:cs="Arial"/>
          <w:sz w:val="20"/>
          <w:szCs w:val="20"/>
        </w:rPr>
      </w:pPr>
      <w:r w:rsidRPr="002112D3">
        <w:rPr>
          <w:rFonts w:ascii="Arial" w:hAnsi="Arial" w:cs="Arial"/>
          <w:sz w:val="20"/>
          <w:szCs w:val="20"/>
        </w:rPr>
        <w:t>Poskytovatel:</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na základě usnesení č. </w:t>
      </w:r>
      <w:proofErr w:type="gramStart"/>
      <w:r w:rsidRPr="002112D3">
        <w:rPr>
          <w:rFonts w:ascii="Arial" w:hAnsi="Arial" w:cs="Arial"/>
          <w:sz w:val="20"/>
          <w:szCs w:val="20"/>
          <w:highlight w:val="yellow"/>
        </w:rPr>
        <w:t>….. Rady/Zastupitelstva</w:t>
      </w:r>
      <w:proofErr w:type="gramEnd"/>
      <w:r w:rsidRPr="002112D3">
        <w:rPr>
          <w:rFonts w:ascii="Arial" w:hAnsi="Arial" w:cs="Arial"/>
          <w:sz w:val="20"/>
          <w:szCs w:val="20"/>
        </w:rPr>
        <w:t xml:space="preserve"> města Uherské Hradiště, ze dne </w:t>
      </w:r>
      <w:r w:rsidRPr="002112D3">
        <w:rPr>
          <w:rFonts w:ascii="Arial" w:hAnsi="Arial" w:cs="Arial"/>
          <w:sz w:val="20"/>
          <w:szCs w:val="20"/>
          <w:highlight w:val="yellow"/>
        </w:rPr>
        <w:t>…..,</w:t>
      </w:r>
      <w:r w:rsidRPr="002112D3">
        <w:rPr>
          <w:rFonts w:ascii="Arial" w:hAnsi="Arial" w:cs="Arial"/>
          <w:sz w:val="20"/>
          <w:szCs w:val="20"/>
        </w:rPr>
        <w:t xml:space="preserve">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 </w:t>
      </w:r>
      <w:r w:rsidRPr="002112D3">
        <w:rPr>
          <w:rFonts w:ascii="Arial" w:hAnsi="Arial" w:cs="Arial"/>
          <w:sz w:val="20"/>
          <w:szCs w:val="20"/>
          <w:highlight w:val="yellow"/>
        </w:rPr>
        <w:t xml:space="preserve">Pověřením Ministerstva práce a sociálních věcí České republiky k zajištění dostupnosti poskytování sociálních služeb zařazením mezi veřejně podporované sociálních služby s celostátní a nadregionální působností/ </w:t>
      </w:r>
      <w:proofErr w:type="gramStart"/>
      <w:r w:rsidRPr="002112D3">
        <w:rPr>
          <w:rFonts w:ascii="Arial" w:hAnsi="Arial" w:cs="Arial"/>
          <w:sz w:val="20"/>
          <w:szCs w:val="20"/>
          <w:highlight w:val="yellow"/>
        </w:rPr>
        <w:t>….. kraje</w:t>
      </w:r>
      <w:proofErr w:type="gramEnd"/>
      <w:r w:rsidRPr="002112D3">
        <w:rPr>
          <w:rFonts w:ascii="Arial" w:hAnsi="Arial" w:cs="Arial"/>
          <w:sz w:val="20"/>
          <w:szCs w:val="20"/>
          <w:highlight w:val="yellow"/>
        </w:rPr>
        <w:t xml:space="preserve"> k poskytování služeb obecného hospodářského zájmu</w:t>
      </w:r>
      <w:r w:rsidRPr="002112D3">
        <w:rPr>
          <w:rFonts w:ascii="Arial" w:hAnsi="Arial" w:cs="Arial"/>
          <w:sz w:val="20"/>
          <w:szCs w:val="20"/>
        </w:rPr>
        <w:t xml:space="preserve"> (dále jen „Pověření“) </w:t>
      </w:r>
      <w:r>
        <w:rPr>
          <w:rFonts w:ascii="Arial" w:hAnsi="Arial" w:cs="Arial"/>
          <w:sz w:val="20"/>
          <w:szCs w:val="20"/>
        </w:rPr>
        <w:t xml:space="preserve">vydaným </w:t>
      </w:r>
      <w:r w:rsidRPr="002112D3">
        <w:rPr>
          <w:rFonts w:ascii="Arial" w:hAnsi="Arial" w:cs="Arial"/>
          <w:sz w:val="20"/>
          <w:szCs w:val="20"/>
        </w:rPr>
        <w:t xml:space="preserve">příjemci dne </w:t>
      </w:r>
      <w:r w:rsidRPr="002112D3">
        <w:rPr>
          <w:rFonts w:ascii="Arial" w:hAnsi="Arial" w:cs="Arial"/>
          <w:sz w:val="20"/>
          <w:szCs w:val="20"/>
          <w:highlight w:val="yellow"/>
        </w:rPr>
        <w:t>…..</w:t>
      </w:r>
      <w:r w:rsidRPr="002112D3">
        <w:rPr>
          <w:rFonts w:ascii="Arial" w:hAnsi="Arial" w:cs="Arial"/>
          <w:sz w:val="20"/>
          <w:szCs w:val="20"/>
        </w:rPr>
        <w:t xml:space="preserve">, </w:t>
      </w:r>
    </w:p>
    <w:p w:rsidR="00206F4E" w:rsidRPr="002112D3" w:rsidRDefault="00206F4E" w:rsidP="00206F4E">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se Střednědobým plánem </w:t>
      </w:r>
      <w:r>
        <w:rPr>
          <w:rFonts w:ascii="Arial" w:hAnsi="Arial" w:cs="Arial"/>
          <w:sz w:val="20"/>
          <w:szCs w:val="20"/>
        </w:rPr>
        <w:t xml:space="preserve">rozvoje </w:t>
      </w:r>
      <w:r w:rsidRPr="002112D3">
        <w:rPr>
          <w:rFonts w:ascii="Arial" w:hAnsi="Arial" w:cs="Arial"/>
          <w:sz w:val="20"/>
          <w:szCs w:val="20"/>
        </w:rPr>
        <w:t>sociálních služeb města Uherské Hradiště</w:t>
      </w:r>
      <w:r>
        <w:rPr>
          <w:rFonts w:ascii="Arial" w:hAnsi="Arial" w:cs="Arial"/>
          <w:sz w:val="20"/>
          <w:szCs w:val="20"/>
        </w:rPr>
        <w:t xml:space="preserve"> na období let 2022 – 2024 (dále jen Střednědobý plán)</w:t>
      </w:r>
      <w:r w:rsidRPr="002112D3">
        <w:rPr>
          <w:rFonts w:ascii="Arial" w:hAnsi="Arial" w:cs="Arial"/>
          <w:sz w:val="20"/>
          <w:szCs w:val="20"/>
        </w:rPr>
        <w:t xml:space="preserve"> a aktuálním Akčním plánem</w:t>
      </w:r>
      <w:r>
        <w:rPr>
          <w:rFonts w:ascii="Arial" w:hAnsi="Arial" w:cs="Arial"/>
          <w:sz w:val="20"/>
          <w:szCs w:val="20"/>
        </w:rPr>
        <w:t xml:space="preserve"> rozvoje sociálních služeb (dále jen Akční plán)</w:t>
      </w:r>
      <w:r w:rsidRPr="002112D3">
        <w:rPr>
          <w:rFonts w:ascii="Arial" w:hAnsi="Arial" w:cs="Arial"/>
          <w:sz w:val="20"/>
          <w:szCs w:val="20"/>
        </w:rPr>
        <w:t>,</w:t>
      </w:r>
    </w:p>
    <w:p w:rsidR="00206F4E" w:rsidRPr="002112D3" w:rsidRDefault="00206F4E" w:rsidP="00206F4E">
      <w:pPr>
        <w:widowControl w:val="0"/>
        <w:spacing w:after="0" w:line="276" w:lineRule="auto"/>
        <w:ind w:left="709"/>
        <w:jc w:val="both"/>
        <w:rPr>
          <w:rFonts w:ascii="Arial" w:hAnsi="Arial" w:cs="Arial"/>
          <w:sz w:val="20"/>
          <w:szCs w:val="20"/>
        </w:rPr>
      </w:pPr>
    </w:p>
    <w:p w:rsidR="00206F4E" w:rsidRPr="002112D3" w:rsidRDefault="00206F4E" w:rsidP="00206F4E">
      <w:pPr>
        <w:widowControl w:val="0"/>
        <w:spacing w:after="120" w:line="276" w:lineRule="auto"/>
        <w:ind w:left="364"/>
        <w:jc w:val="both"/>
        <w:rPr>
          <w:rFonts w:ascii="Arial" w:hAnsi="Arial" w:cs="Arial"/>
          <w:sz w:val="20"/>
          <w:szCs w:val="20"/>
        </w:rPr>
      </w:pPr>
      <w:r w:rsidRPr="002112D3">
        <w:rPr>
          <w:rFonts w:ascii="Arial" w:hAnsi="Arial" w:cs="Arial"/>
          <w:sz w:val="20"/>
          <w:szCs w:val="20"/>
        </w:rPr>
        <w:t>poskytuje příjemci neinvestiční dotaci z Fondu sociální pomoci a prevence města Uherské Hradiště</w:t>
      </w:r>
      <w:r>
        <w:rPr>
          <w:rFonts w:ascii="Arial" w:hAnsi="Arial" w:cs="Arial"/>
          <w:sz w:val="20"/>
          <w:szCs w:val="20"/>
        </w:rPr>
        <w:t xml:space="preserve"> (dále jen Fond)</w:t>
      </w:r>
      <w:r w:rsidRPr="002112D3">
        <w:rPr>
          <w:rFonts w:ascii="Arial" w:hAnsi="Arial" w:cs="Arial"/>
          <w:sz w:val="20"/>
          <w:szCs w:val="20"/>
        </w:rPr>
        <w:t xml:space="preserve"> pro rok 202</w:t>
      </w:r>
      <w:r>
        <w:rPr>
          <w:rFonts w:ascii="Arial" w:hAnsi="Arial" w:cs="Arial"/>
          <w:sz w:val="20"/>
          <w:szCs w:val="20"/>
        </w:rPr>
        <w:t>4</w:t>
      </w:r>
      <w:r w:rsidRPr="002112D3">
        <w:rPr>
          <w:rFonts w:ascii="Arial" w:hAnsi="Arial" w:cs="Arial"/>
          <w:sz w:val="20"/>
          <w:szCs w:val="20"/>
        </w:rPr>
        <w:t xml:space="preserve"> ve výši</w:t>
      </w:r>
    </w:p>
    <w:p w:rsidR="00206F4E" w:rsidRPr="002112D3" w:rsidRDefault="00206F4E" w:rsidP="00206F4E">
      <w:pPr>
        <w:widowControl w:val="0"/>
        <w:spacing w:after="120" w:line="276" w:lineRule="auto"/>
        <w:ind w:firstLine="357"/>
        <w:jc w:val="center"/>
        <w:rPr>
          <w:rFonts w:ascii="Arial" w:hAnsi="Arial" w:cs="Arial"/>
          <w:b/>
          <w:bCs/>
          <w:sz w:val="20"/>
          <w:szCs w:val="20"/>
        </w:rPr>
      </w:pPr>
      <w:r w:rsidRPr="002112D3">
        <w:rPr>
          <w:rFonts w:ascii="Arial" w:hAnsi="Arial" w:cs="Arial"/>
          <w:b/>
          <w:bCs/>
          <w:sz w:val="20"/>
          <w:szCs w:val="20"/>
          <w:highlight w:val="yellow"/>
        </w:rPr>
        <w:t>Kč (</w:t>
      </w:r>
      <w:proofErr w:type="gramStart"/>
      <w:r w:rsidRPr="002112D3">
        <w:rPr>
          <w:rFonts w:ascii="Arial" w:hAnsi="Arial" w:cs="Arial"/>
          <w:b/>
          <w:bCs/>
          <w:sz w:val="20"/>
          <w:szCs w:val="20"/>
          <w:highlight w:val="yellow"/>
        </w:rPr>
        <w:t>slovy )</w:t>
      </w:r>
      <w:proofErr w:type="gramEnd"/>
    </w:p>
    <w:p w:rsidR="00206F4E" w:rsidRPr="002112D3" w:rsidRDefault="00206F4E" w:rsidP="00206F4E">
      <w:pPr>
        <w:widowControl w:val="0"/>
        <w:spacing w:after="120" w:line="276" w:lineRule="auto"/>
        <w:ind w:left="357"/>
        <w:jc w:val="both"/>
        <w:rPr>
          <w:rFonts w:ascii="Arial" w:hAnsi="Arial" w:cs="Arial"/>
          <w:sz w:val="20"/>
          <w:szCs w:val="20"/>
        </w:rPr>
      </w:pPr>
      <w:r w:rsidRPr="002112D3">
        <w:rPr>
          <w:rFonts w:ascii="Arial" w:hAnsi="Arial" w:cs="Arial"/>
          <w:sz w:val="20"/>
          <w:szCs w:val="20"/>
        </w:rPr>
        <w:t>na podporu poskytování registrovaných sociálních služeb (dále v textu také: služby obecného hospodářského zájmu) pro občany mě</w:t>
      </w:r>
      <w:r>
        <w:rPr>
          <w:rFonts w:ascii="Arial" w:hAnsi="Arial" w:cs="Arial"/>
          <w:sz w:val="20"/>
          <w:szCs w:val="20"/>
        </w:rPr>
        <w:t>sta Uherské Hradiště v roce 2024</w:t>
      </w:r>
      <w:r w:rsidRPr="002112D3">
        <w:rPr>
          <w:rFonts w:ascii="Arial" w:hAnsi="Arial" w:cs="Arial"/>
          <w:sz w:val="20"/>
          <w:szCs w:val="20"/>
        </w:rPr>
        <w:t xml:space="preserve"> v rozdělení dle Přílohy.</w:t>
      </w:r>
    </w:p>
    <w:p w:rsidR="00206F4E" w:rsidRPr="002112D3" w:rsidRDefault="00206F4E" w:rsidP="00206F4E">
      <w:pPr>
        <w:widowControl w:val="0"/>
        <w:spacing w:after="120" w:line="276" w:lineRule="auto"/>
        <w:ind w:left="357"/>
        <w:jc w:val="both"/>
        <w:rPr>
          <w:rFonts w:ascii="Arial" w:hAnsi="Arial" w:cs="Arial"/>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w:t>
      </w:r>
    </w:p>
    <w:p w:rsidR="00206F4E" w:rsidRPr="002112D3" w:rsidRDefault="00206F4E" w:rsidP="00206F4E">
      <w:pPr>
        <w:widowControl w:val="0"/>
        <w:spacing w:after="120" w:line="276" w:lineRule="auto"/>
        <w:jc w:val="center"/>
        <w:rPr>
          <w:rFonts w:ascii="Arial" w:hAnsi="Arial" w:cs="Arial"/>
          <w:b/>
          <w:sz w:val="20"/>
          <w:szCs w:val="20"/>
        </w:rPr>
      </w:pPr>
      <w:r w:rsidRPr="002112D3">
        <w:rPr>
          <w:rFonts w:ascii="Arial" w:hAnsi="Arial" w:cs="Arial"/>
          <w:b/>
          <w:sz w:val="20"/>
          <w:szCs w:val="20"/>
        </w:rPr>
        <w:t>Splatnost dotace</w:t>
      </w:r>
    </w:p>
    <w:p w:rsidR="00206F4E" w:rsidRPr="002112D3" w:rsidRDefault="00206F4E" w:rsidP="00206F4E">
      <w:pPr>
        <w:widowControl w:val="0"/>
        <w:spacing w:after="0" w:line="276" w:lineRule="auto"/>
        <w:ind w:left="20"/>
        <w:jc w:val="both"/>
        <w:rPr>
          <w:rFonts w:ascii="Arial" w:eastAsia="Arial" w:hAnsi="Arial" w:cs="Arial"/>
          <w:bCs/>
          <w:i/>
          <w:sz w:val="20"/>
          <w:szCs w:val="20"/>
        </w:rPr>
      </w:pPr>
      <w:r w:rsidRPr="002112D3">
        <w:rPr>
          <w:rFonts w:ascii="Arial" w:eastAsia="Arial" w:hAnsi="Arial" w:cs="Arial"/>
          <w:bCs/>
          <w:sz w:val="20"/>
          <w:szCs w:val="20"/>
        </w:rPr>
        <w:t xml:space="preserve">Poskytovatel poukáže příjemci neinvestiční dotaci v celkové výši </w:t>
      </w:r>
      <w:proofErr w:type="gramStart"/>
      <w:r w:rsidRPr="002112D3">
        <w:rPr>
          <w:rFonts w:ascii="Arial" w:eastAsia="Arial" w:hAnsi="Arial" w:cs="Arial"/>
          <w:bCs/>
          <w:sz w:val="20"/>
          <w:szCs w:val="20"/>
          <w:highlight w:val="yellow"/>
        </w:rPr>
        <w:t>….</w:t>
      </w:r>
      <w:r w:rsidRPr="002112D3">
        <w:rPr>
          <w:rFonts w:ascii="Arial" w:eastAsia="Arial" w:hAnsi="Arial" w:cs="Arial"/>
          <w:bCs/>
          <w:sz w:val="20"/>
          <w:szCs w:val="20"/>
        </w:rPr>
        <w:t xml:space="preserve">   Kč</w:t>
      </w:r>
      <w:proofErr w:type="gramEnd"/>
      <w:r w:rsidRPr="002112D3">
        <w:rPr>
          <w:rFonts w:ascii="Arial" w:eastAsia="Arial" w:hAnsi="Arial" w:cs="Arial"/>
          <w:bCs/>
          <w:sz w:val="20"/>
          <w:szCs w:val="20"/>
        </w:rPr>
        <w:t xml:space="preserve"> převodním příkazem na účet příjemce, uvedený v záhlaví této smlouvy, jednorázovou platbou, která bude příjemci poukázána z účtu poskytovatele do 15 kalendářních dnů ode dne účinnosti této smlouvy.</w:t>
      </w:r>
      <w:r w:rsidRPr="002112D3">
        <w:rPr>
          <w:rFonts w:ascii="Arial" w:eastAsia="Arial" w:hAnsi="Arial" w:cs="Arial"/>
          <w:bCs/>
          <w:i/>
          <w:sz w:val="20"/>
          <w:szCs w:val="20"/>
        </w:rPr>
        <w:t xml:space="preserve"> </w:t>
      </w:r>
    </w:p>
    <w:p w:rsidR="00206F4E" w:rsidRPr="002112D3" w:rsidRDefault="00206F4E" w:rsidP="00206F4E">
      <w:pPr>
        <w:widowControl w:val="0"/>
        <w:spacing w:after="0" w:line="276" w:lineRule="auto"/>
        <w:ind w:left="20"/>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Podmínky přidělení a vyúčtování dotace</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Podmínky pro poskytování, přidělování</w:t>
      </w:r>
      <w:r>
        <w:rPr>
          <w:rFonts w:ascii="Arial" w:hAnsi="Arial" w:cs="Arial"/>
          <w:sz w:val="20"/>
          <w:szCs w:val="20"/>
        </w:rPr>
        <w:t>, použití</w:t>
      </w:r>
      <w:r w:rsidRPr="002112D3">
        <w:rPr>
          <w:rFonts w:ascii="Arial" w:hAnsi="Arial" w:cs="Arial"/>
          <w:sz w:val="20"/>
          <w:szCs w:val="20"/>
        </w:rPr>
        <w:t xml:space="preserve"> a vyúčtování dotací z fondu se řídí</w:t>
      </w:r>
      <w:r>
        <w:rPr>
          <w:rFonts w:ascii="Arial" w:hAnsi="Arial" w:cs="Arial"/>
          <w:sz w:val="20"/>
          <w:szCs w:val="20"/>
        </w:rPr>
        <w:t xml:space="preserve"> obecnými právními předpisy,</w:t>
      </w:r>
      <w:r w:rsidRPr="002112D3">
        <w:rPr>
          <w:rFonts w:ascii="Arial" w:hAnsi="Arial" w:cs="Arial"/>
          <w:sz w:val="20"/>
          <w:szCs w:val="20"/>
        </w:rPr>
        <w:t xml:space="preserve"> Pravidly pro poskytování dotací z Fondu sociální pomoci a prevence</w:t>
      </w:r>
      <w:r>
        <w:rPr>
          <w:rFonts w:ascii="Arial" w:hAnsi="Arial" w:cs="Arial"/>
          <w:sz w:val="20"/>
          <w:szCs w:val="20"/>
        </w:rPr>
        <w:t xml:space="preserve"> (dále jen Pravidla) a Manuálem výpočtu jednotky sociální služby.</w:t>
      </w:r>
      <w:r w:rsidRPr="002112D3">
        <w:rPr>
          <w:rFonts w:ascii="Arial" w:hAnsi="Arial" w:cs="Arial"/>
          <w:sz w:val="20"/>
          <w:szCs w:val="20"/>
        </w:rPr>
        <w:t xml:space="preserve"> </w:t>
      </w:r>
      <w:r>
        <w:rPr>
          <w:rFonts w:ascii="Arial" w:hAnsi="Arial" w:cs="Arial"/>
          <w:sz w:val="20"/>
          <w:szCs w:val="20"/>
        </w:rPr>
        <w:t xml:space="preserve">Tyto dokumenty </w:t>
      </w:r>
      <w:r w:rsidRPr="002112D3">
        <w:rPr>
          <w:rFonts w:ascii="Arial" w:hAnsi="Arial" w:cs="Arial"/>
          <w:sz w:val="20"/>
          <w:szCs w:val="20"/>
        </w:rPr>
        <w:t>jsou zveřejněny na webových stránkách poskytovatele (</w:t>
      </w:r>
      <w:hyperlink r:id="rId7" w:history="1">
        <w:r w:rsidRPr="002112D3">
          <w:rPr>
            <w:rFonts w:ascii="Arial" w:hAnsi="Arial" w:cs="Arial"/>
            <w:color w:val="0563C1" w:themeColor="hyperlink"/>
            <w:sz w:val="20"/>
            <w:szCs w:val="20"/>
            <w:u w:val="single"/>
          </w:rPr>
          <w:t>www.mesto-uh.cz</w:t>
        </w:r>
      </w:hyperlink>
      <w:r w:rsidRPr="002112D3">
        <w:rPr>
          <w:rFonts w:ascii="Arial" w:hAnsi="Arial" w:cs="Arial"/>
          <w:sz w:val="20"/>
          <w:szCs w:val="20"/>
        </w:rPr>
        <w:t>)</w:t>
      </w:r>
      <w:r>
        <w:rPr>
          <w:rFonts w:ascii="Arial" w:hAnsi="Arial" w:cs="Arial"/>
          <w:sz w:val="20"/>
          <w:szCs w:val="20"/>
        </w:rPr>
        <w:t>.</w:t>
      </w:r>
      <w:r w:rsidRPr="002112D3">
        <w:rPr>
          <w:rFonts w:ascii="Arial" w:hAnsi="Arial" w:cs="Arial"/>
          <w:sz w:val="20"/>
          <w:szCs w:val="20"/>
        </w:rPr>
        <w:t xml:space="preserve"> </w:t>
      </w:r>
      <w:r>
        <w:rPr>
          <w:rFonts w:ascii="Arial" w:hAnsi="Arial" w:cs="Arial"/>
          <w:sz w:val="20"/>
          <w:szCs w:val="20"/>
        </w:rPr>
        <w:t>Příjemce</w:t>
      </w:r>
      <w:r w:rsidRPr="002112D3">
        <w:rPr>
          <w:rFonts w:ascii="Arial" w:hAnsi="Arial" w:cs="Arial"/>
          <w:sz w:val="20"/>
          <w:szCs w:val="20"/>
        </w:rPr>
        <w:t xml:space="preserve"> je povinen se</w:t>
      </w:r>
      <w:r>
        <w:rPr>
          <w:rFonts w:ascii="Arial" w:hAnsi="Arial" w:cs="Arial"/>
          <w:sz w:val="20"/>
          <w:szCs w:val="20"/>
        </w:rPr>
        <w:t xml:space="preserve"> jimi</w:t>
      </w:r>
      <w:r w:rsidRPr="002112D3">
        <w:rPr>
          <w:rFonts w:ascii="Arial" w:hAnsi="Arial" w:cs="Arial"/>
          <w:sz w:val="20"/>
          <w:szCs w:val="20"/>
        </w:rPr>
        <w:t xml:space="preserve"> řídit.</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je </w:t>
      </w:r>
      <w:r w:rsidR="00611C20">
        <w:rPr>
          <w:rFonts w:ascii="Arial" w:hAnsi="Arial" w:cs="Arial"/>
          <w:sz w:val="20"/>
          <w:szCs w:val="20"/>
        </w:rPr>
        <w:t>povinen použít</w:t>
      </w:r>
      <w:r w:rsidRPr="002112D3">
        <w:rPr>
          <w:rFonts w:ascii="Arial" w:hAnsi="Arial" w:cs="Arial"/>
          <w:sz w:val="20"/>
          <w:szCs w:val="20"/>
        </w:rPr>
        <w:t xml:space="preserve"> dotaci </w:t>
      </w:r>
      <w:r w:rsidR="00611C20">
        <w:rPr>
          <w:rFonts w:ascii="Arial" w:hAnsi="Arial" w:cs="Arial"/>
          <w:sz w:val="20"/>
          <w:szCs w:val="20"/>
        </w:rPr>
        <w:t xml:space="preserve">maximálně hospodárným způsobem a výhradně </w:t>
      </w:r>
      <w:r w:rsidRPr="002112D3">
        <w:rPr>
          <w:rFonts w:ascii="Arial" w:hAnsi="Arial" w:cs="Arial"/>
          <w:sz w:val="20"/>
          <w:szCs w:val="20"/>
        </w:rPr>
        <w:t>k účelu stanovenému v Čl. I této smlouvy.</w:t>
      </w:r>
    </w:p>
    <w:p w:rsidR="00804B90"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2112D3">
        <w:rPr>
          <w:rFonts w:ascii="Arial" w:hAnsi="Arial" w:cs="Arial"/>
          <w:sz w:val="20"/>
          <w:szCs w:val="20"/>
        </w:rPr>
        <w:t>1.1.202</w:t>
      </w:r>
      <w:r>
        <w:rPr>
          <w:rFonts w:ascii="Arial" w:hAnsi="Arial" w:cs="Arial"/>
          <w:sz w:val="20"/>
          <w:szCs w:val="20"/>
        </w:rPr>
        <w:t>4</w:t>
      </w:r>
      <w:proofErr w:type="gramEnd"/>
      <w:r w:rsidRPr="002112D3">
        <w:rPr>
          <w:rFonts w:ascii="Arial" w:hAnsi="Arial" w:cs="Arial"/>
          <w:sz w:val="20"/>
          <w:szCs w:val="20"/>
        </w:rPr>
        <w:t xml:space="preserve"> – 31.12.202</w:t>
      </w:r>
      <w:r>
        <w:rPr>
          <w:rFonts w:ascii="Arial" w:hAnsi="Arial" w:cs="Arial"/>
          <w:sz w:val="20"/>
          <w:szCs w:val="20"/>
        </w:rPr>
        <w:t>4</w:t>
      </w:r>
      <w:r w:rsidRPr="002112D3">
        <w:rPr>
          <w:rFonts w:ascii="Arial" w:hAnsi="Arial" w:cs="Arial"/>
          <w:sz w:val="20"/>
          <w:szCs w:val="20"/>
        </w:rPr>
        <w:t>.</w:t>
      </w:r>
      <w:r w:rsidR="009A489F">
        <w:rPr>
          <w:rFonts w:ascii="Arial" w:hAnsi="Arial" w:cs="Arial"/>
          <w:sz w:val="20"/>
          <w:szCs w:val="20"/>
        </w:rPr>
        <w:t xml:space="preserve"> </w:t>
      </w:r>
      <w:r w:rsidR="00611C20">
        <w:rPr>
          <w:rFonts w:ascii="Arial" w:hAnsi="Arial" w:cs="Arial"/>
          <w:sz w:val="20"/>
          <w:szCs w:val="20"/>
        </w:rPr>
        <w:t xml:space="preserve">Příjemce je oprávněna čerpat dotaci k realizaci projektu v průběhu běžného kalendářního roku, tj.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 xml:space="preserve">. </w:t>
      </w:r>
      <w:r w:rsidR="009A489F">
        <w:rPr>
          <w:rFonts w:ascii="Arial" w:hAnsi="Arial" w:cs="Arial"/>
          <w:sz w:val="20"/>
          <w:szCs w:val="20"/>
        </w:rPr>
        <w:t>Poskytnutou dotaci nelze převádět do následujícího roku.</w:t>
      </w:r>
      <w:r w:rsidR="00611C20">
        <w:rPr>
          <w:rFonts w:ascii="Arial" w:hAnsi="Arial" w:cs="Arial"/>
          <w:sz w:val="20"/>
          <w:szCs w:val="20"/>
        </w:rPr>
        <w:t xml:space="preserve"> Čerpáním dotace se rozumí úhrada uznatelných nákladů vzniklých při realizaci projektu, a to i před uzavřením smlouvy, avšak za podmínky, že dotace bude využita k projektu a daňový doklad prokazující využití dotace bude vystaven v běžném kalendářním roce, tj. roce 2024. Uznatelné náklady ve skutečné výši musí být vyúčtovány, uhrazeny a promítnuty v účetnictví příjemce nejpozději do </w:t>
      </w:r>
      <w:proofErr w:type="gramStart"/>
      <w:r w:rsidR="00611C20">
        <w:rPr>
          <w:rFonts w:ascii="Arial" w:hAnsi="Arial" w:cs="Arial"/>
          <w:sz w:val="20"/>
          <w:szCs w:val="20"/>
        </w:rPr>
        <w:t>31.</w:t>
      </w:r>
      <w:r w:rsidR="00804B90">
        <w:rPr>
          <w:rFonts w:ascii="Arial" w:hAnsi="Arial" w:cs="Arial"/>
          <w:sz w:val="20"/>
          <w:szCs w:val="20"/>
        </w:rPr>
        <w:t>12.</w:t>
      </w:r>
      <w:r w:rsidR="00611C20">
        <w:rPr>
          <w:rFonts w:ascii="Arial" w:hAnsi="Arial" w:cs="Arial"/>
          <w:sz w:val="20"/>
          <w:szCs w:val="20"/>
        </w:rPr>
        <w:t>2024</w:t>
      </w:r>
      <w:proofErr w:type="gramEnd"/>
      <w:r w:rsidR="00611C20">
        <w:rPr>
          <w:rFonts w:ascii="Arial" w:hAnsi="Arial" w:cs="Arial"/>
          <w:sz w:val="20"/>
          <w:szCs w:val="20"/>
        </w:rPr>
        <w:t>.</w:t>
      </w:r>
    </w:p>
    <w:p w:rsidR="00206F4E" w:rsidRPr="002112D3" w:rsidRDefault="00804B90" w:rsidP="00804B90">
      <w:pPr>
        <w:widowControl w:val="0"/>
        <w:spacing w:after="0" w:line="276" w:lineRule="auto"/>
        <w:ind w:left="357"/>
        <w:jc w:val="both"/>
        <w:rPr>
          <w:rFonts w:ascii="Arial" w:hAnsi="Arial" w:cs="Arial"/>
          <w:sz w:val="20"/>
          <w:szCs w:val="20"/>
        </w:rPr>
      </w:pPr>
      <w:r>
        <w:rPr>
          <w:rFonts w:ascii="Arial" w:hAnsi="Arial" w:cs="Arial"/>
          <w:sz w:val="20"/>
          <w:szCs w:val="20"/>
        </w:rPr>
        <w:t xml:space="preserve">Výdaj na úhradu zálohové faktury, která nejpozději do </w:t>
      </w:r>
      <w:proofErr w:type="gramStart"/>
      <w:r>
        <w:rPr>
          <w:rFonts w:ascii="Arial" w:hAnsi="Arial" w:cs="Arial"/>
          <w:sz w:val="20"/>
          <w:szCs w:val="20"/>
        </w:rPr>
        <w:t>31.12.2024</w:t>
      </w:r>
      <w:proofErr w:type="gramEnd"/>
      <w:r>
        <w:rPr>
          <w:rFonts w:ascii="Arial" w:hAnsi="Arial" w:cs="Arial"/>
          <w:sz w:val="20"/>
          <w:szCs w:val="20"/>
        </w:rPr>
        <w:t xml:space="preserve"> nebyla vyúčtována, není uznatelným výdajem. V případě, že konečná cena po vyúčtování zálohy bude nižší než zaplacená záloha (přeplatek na zálohách), bude výdaj považován za uznatelný maximálně do výše konečné ceny uvedené v zúčtovací faktuře.</w:t>
      </w:r>
      <w:r w:rsidR="00611C20">
        <w:rPr>
          <w:rFonts w:ascii="Arial" w:hAnsi="Arial" w:cs="Arial"/>
          <w:sz w:val="20"/>
          <w:szCs w:val="20"/>
        </w:rPr>
        <w:t xml:space="preserve"> </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w:t>
      </w:r>
      <w:r>
        <w:rPr>
          <w:rFonts w:ascii="Arial" w:hAnsi="Arial" w:cs="Arial"/>
          <w:sz w:val="20"/>
          <w:szCs w:val="20"/>
        </w:rPr>
        <w:t>je</w:t>
      </w:r>
      <w:r w:rsidRPr="002112D3">
        <w:rPr>
          <w:rFonts w:ascii="Arial" w:hAnsi="Arial" w:cs="Arial"/>
          <w:sz w:val="20"/>
          <w:szCs w:val="20"/>
        </w:rPr>
        <w:t xml:space="preserve"> ke dni podpisu této smlouvy plátcem daně z přidané hodnoty. </w:t>
      </w:r>
      <w:r>
        <w:rPr>
          <w:rFonts w:ascii="Arial" w:hAnsi="Arial" w:cs="Arial"/>
          <w:sz w:val="20"/>
          <w:szCs w:val="20"/>
        </w:rPr>
        <w:t>S</w:t>
      </w:r>
      <w:r w:rsidRPr="002112D3">
        <w:rPr>
          <w:rFonts w:ascii="Arial" w:hAnsi="Arial" w:cs="Arial"/>
          <w:sz w:val="20"/>
          <w:szCs w:val="20"/>
        </w:rPr>
        <w:t>plň</w:t>
      </w:r>
      <w:r>
        <w:rPr>
          <w:rFonts w:ascii="Arial" w:hAnsi="Arial" w:cs="Arial"/>
          <w:sz w:val="20"/>
          <w:szCs w:val="20"/>
        </w:rPr>
        <w:t>uje-li</w:t>
      </w:r>
      <w:r w:rsidRPr="002112D3">
        <w:rPr>
          <w:rFonts w:ascii="Arial" w:hAnsi="Arial" w:cs="Arial"/>
          <w:sz w:val="20"/>
          <w:szCs w:val="20"/>
        </w:rPr>
        <w:t xml:space="preserve"> </w:t>
      </w:r>
      <w:r>
        <w:rPr>
          <w:rFonts w:ascii="Arial" w:hAnsi="Arial" w:cs="Arial"/>
          <w:sz w:val="20"/>
          <w:szCs w:val="20"/>
        </w:rPr>
        <w:t xml:space="preserve">příjemce </w:t>
      </w:r>
      <w:r w:rsidRPr="002112D3">
        <w:rPr>
          <w:rFonts w:ascii="Arial" w:hAnsi="Arial" w:cs="Arial"/>
          <w:sz w:val="20"/>
          <w:szCs w:val="20"/>
        </w:rPr>
        <w:t>podmínky pro uplatnění nároku na odpočet daně z přidané hodnoty dle zákona č. 235/2004 Sb., o dani z přidané hodnoty, ve znění pozdějších předpisů, není oprávněn použít poskytnutou dotaci na úhradu daně z přidané hodnoty.</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vyúčtování dotace na sociální služby, na jejichž poskytování příjemce žádal podporu:</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w:t>
      </w:r>
      <w:r w:rsidRPr="007D1ACC">
        <w:rPr>
          <w:rFonts w:ascii="Arial" w:hAnsi="Arial" w:cs="Arial"/>
          <w:b/>
          <w:sz w:val="20"/>
          <w:szCs w:val="20"/>
        </w:rPr>
        <w:t>vést oddělené účetnictví pro každou svou sociální službu</w:t>
      </w:r>
      <w:r w:rsidRPr="002112D3">
        <w:rPr>
          <w:rFonts w:ascii="Arial" w:hAnsi="Arial" w:cs="Arial"/>
          <w:sz w:val="20"/>
          <w:szCs w:val="20"/>
        </w:rPr>
        <w:t>.</w:t>
      </w:r>
      <w:r>
        <w:rPr>
          <w:rFonts w:ascii="Arial" w:hAnsi="Arial" w:cs="Arial"/>
          <w:sz w:val="20"/>
          <w:szCs w:val="20"/>
        </w:rPr>
        <w:t xml:space="preserve"> </w:t>
      </w:r>
      <w:r w:rsidRPr="00206F4E">
        <w:rPr>
          <w:rFonts w:ascii="Arial" w:hAnsi="Arial" w:cs="Arial"/>
          <w:b/>
          <w:sz w:val="20"/>
          <w:szCs w:val="20"/>
        </w:rPr>
        <w:t>Tato povinnost se vztahuje i na situace, kdy je dotace poskytnuta na rozvoj sociální služby se stejným identifikátorem (příjemce zajistí vedení odděleného účetnictví samostatně pro stávající kapacitu a samostatně pro rozvoj).</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Vyúčtování poskytnuté platby dotace je příjemce povinen za každou sociální službu předložit poskytovateli do </w:t>
      </w:r>
      <w:proofErr w:type="gramStart"/>
      <w:r w:rsidRPr="002112D3">
        <w:rPr>
          <w:rFonts w:ascii="Arial" w:hAnsi="Arial" w:cs="Arial"/>
          <w:b/>
          <w:sz w:val="20"/>
          <w:szCs w:val="20"/>
        </w:rPr>
        <w:t>1</w:t>
      </w:r>
      <w:r>
        <w:rPr>
          <w:rFonts w:ascii="Arial" w:hAnsi="Arial" w:cs="Arial"/>
          <w:b/>
          <w:sz w:val="20"/>
          <w:szCs w:val="20"/>
        </w:rPr>
        <w:t>5.1.2025</w:t>
      </w:r>
      <w:proofErr w:type="gramEnd"/>
      <w:r w:rsidRPr="002112D3">
        <w:rPr>
          <w:rFonts w:ascii="Arial" w:hAnsi="Arial" w:cs="Arial"/>
          <w:b/>
          <w:sz w:val="20"/>
          <w:szCs w:val="20"/>
        </w:rPr>
        <w:t>.</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vyúčtovat minimálně celou výši platby dotace, tj. </w:t>
      </w:r>
      <w:proofErr w:type="gramStart"/>
      <w:r w:rsidRPr="002112D3">
        <w:rPr>
          <w:rFonts w:ascii="Arial" w:hAnsi="Arial" w:cs="Arial"/>
          <w:sz w:val="20"/>
          <w:szCs w:val="20"/>
          <w:highlight w:val="yellow"/>
        </w:rPr>
        <w:t>…..</w:t>
      </w:r>
      <w:r w:rsidRPr="002112D3">
        <w:rPr>
          <w:rFonts w:ascii="Arial" w:hAnsi="Arial" w:cs="Arial"/>
          <w:sz w:val="20"/>
          <w:szCs w:val="20"/>
        </w:rPr>
        <w:t xml:space="preserve"> Kč</w:t>
      </w:r>
      <w:proofErr w:type="gramEnd"/>
      <w:r w:rsidRPr="002112D3">
        <w:rPr>
          <w:rFonts w:ascii="Arial" w:hAnsi="Arial" w:cs="Arial"/>
          <w:sz w:val="20"/>
          <w:szCs w:val="20"/>
        </w:rPr>
        <w:t xml:space="preserve">. V případě, že příjemce vyúčtuje nižší částku než je poskytnutá platba dotace, tj. </w:t>
      </w:r>
      <w:r w:rsidRPr="002112D3">
        <w:rPr>
          <w:rFonts w:ascii="Arial" w:hAnsi="Arial" w:cs="Arial"/>
          <w:sz w:val="20"/>
          <w:szCs w:val="20"/>
          <w:highlight w:val="yellow"/>
        </w:rPr>
        <w:t>…..</w:t>
      </w:r>
      <w:r w:rsidRPr="002112D3">
        <w:rPr>
          <w:rFonts w:ascii="Arial" w:hAnsi="Arial" w:cs="Arial"/>
          <w:sz w:val="20"/>
          <w:szCs w:val="20"/>
        </w:rPr>
        <w:t xml:space="preserve"> Kč, je povinen nevyúčtovanou (nevyčerpanou) částku vrátit na účet poskytovatele uvedený v záhlaví této smlouvy pod variabilním symbolem 908202</w:t>
      </w:r>
      <w:r>
        <w:rPr>
          <w:rFonts w:ascii="Arial" w:hAnsi="Arial" w:cs="Arial"/>
          <w:sz w:val="20"/>
          <w:szCs w:val="20"/>
        </w:rPr>
        <w:t>4</w:t>
      </w:r>
      <w:r w:rsidRPr="002112D3">
        <w:rPr>
          <w:rFonts w:ascii="Arial" w:hAnsi="Arial" w:cs="Arial"/>
          <w:sz w:val="20"/>
          <w:szCs w:val="20"/>
          <w:highlight w:val="yellow"/>
        </w:rPr>
        <w:t>…,</w:t>
      </w:r>
      <w:r w:rsidRPr="002112D3">
        <w:rPr>
          <w:rFonts w:ascii="Arial" w:hAnsi="Arial" w:cs="Arial"/>
          <w:sz w:val="20"/>
          <w:szCs w:val="20"/>
        </w:rPr>
        <w:t xml:space="preserve"> a to nejpozději do </w:t>
      </w:r>
      <w:proofErr w:type="gramStart"/>
      <w:r>
        <w:rPr>
          <w:rFonts w:ascii="Arial" w:hAnsi="Arial" w:cs="Arial"/>
          <w:b/>
          <w:sz w:val="20"/>
          <w:szCs w:val="20"/>
        </w:rPr>
        <w:t>22</w:t>
      </w:r>
      <w:r w:rsidRPr="002112D3">
        <w:rPr>
          <w:rFonts w:ascii="Arial" w:hAnsi="Arial" w:cs="Arial"/>
          <w:b/>
          <w:sz w:val="20"/>
          <w:szCs w:val="20"/>
        </w:rPr>
        <w:t>.</w:t>
      </w:r>
      <w:r>
        <w:rPr>
          <w:rFonts w:ascii="Arial" w:hAnsi="Arial" w:cs="Arial"/>
          <w:b/>
          <w:sz w:val="20"/>
          <w:szCs w:val="20"/>
        </w:rPr>
        <w:t>1.</w:t>
      </w:r>
      <w:r w:rsidRPr="002112D3">
        <w:rPr>
          <w:rFonts w:ascii="Arial" w:hAnsi="Arial" w:cs="Arial"/>
          <w:b/>
          <w:sz w:val="20"/>
          <w:szCs w:val="20"/>
        </w:rPr>
        <w:t>202</w:t>
      </w:r>
      <w:r>
        <w:rPr>
          <w:rFonts w:ascii="Arial" w:hAnsi="Arial" w:cs="Arial"/>
          <w:b/>
          <w:sz w:val="20"/>
          <w:szCs w:val="20"/>
        </w:rPr>
        <w:t>5</w:t>
      </w:r>
      <w:proofErr w:type="gramEnd"/>
      <w:r w:rsidRPr="002112D3">
        <w:rPr>
          <w:rFonts w:ascii="Arial" w:hAnsi="Arial" w:cs="Arial"/>
          <w:b/>
          <w:sz w:val="20"/>
          <w:szCs w:val="20"/>
        </w:rPr>
        <w:t xml:space="preserve">. </w:t>
      </w:r>
      <w:r w:rsidRPr="002112D3">
        <w:rPr>
          <w:rFonts w:ascii="Arial" w:hAnsi="Arial" w:cs="Arial"/>
          <w:sz w:val="20"/>
          <w:szCs w:val="20"/>
        </w:rPr>
        <w:t>Za den vrácení nevyúčtované (nevyčerpané) částky dotace se považuje den připsání finančních prostředků na účet poskytovatele.</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poskytnuté finanční prostředky za každou sociální službu, na kterou žádal dotaci a předložit následující dokumenty: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„Vyúčtování poskytnuté neinvestiční dotace z Fondu sociální pomoci a prevence v roce 202</w:t>
      </w:r>
      <w:r>
        <w:rPr>
          <w:rFonts w:ascii="Arial" w:hAnsi="Arial" w:cs="Arial"/>
          <w:sz w:val="20"/>
          <w:szCs w:val="20"/>
        </w:rPr>
        <w:t>4</w:t>
      </w:r>
      <w:r w:rsidRPr="002112D3">
        <w:rPr>
          <w:rFonts w:ascii="Arial" w:hAnsi="Arial" w:cs="Arial"/>
          <w:sz w:val="20"/>
          <w:szCs w:val="20"/>
        </w:rPr>
        <w:t xml:space="preserve">“. </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Vyplněné formuláře „Přehled mezd zaměstnanců v pracovním poměru, činných na základě dohody o pracovní činnosti a dohody o provedení práce vyúčtovaných dotaci z Fondu </w:t>
      </w:r>
      <w:r w:rsidRPr="002112D3">
        <w:rPr>
          <w:rFonts w:ascii="Arial" w:hAnsi="Arial" w:cs="Arial"/>
          <w:sz w:val="20"/>
          <w:szCs w:val="20"/>
        </w:rPr>
        <w:lastRenderedPageBreak/>
        <w:t>sociální pomoci a prevence v roce 202</w:t>
      </w:r>
      <w:r>
        <w:rPr>
          <w:rFonts w:ascii="Arial" w:hAnsi="Arial" w:cs="Arial"/>
          <w:sz w:val="20"/>
          <w:szCs w:val="20"/>
        </w:rPr>
        <w:t>4</w:t>
      </w:r>
      <w:r w:rsidRPr="002112D3">
        <w:rPr>
          <w:rFonts w:ascii="Arial" w:hAnsi="Arial" w:cs="Arial"/>
          <w:sz w:val="20"/>
          <w:szCs w:val="20"/>
        </w:rPr>
        <w:t>“ v případě, že je poskytnutá dotace použita na úhradu mzdových nákladů.</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Seznam dokladů (nákladů) vyúčtovaných dotaci z oddělené účetní evidence, včetně dokladů prokazujících jejich zaúčtování do účetního období roku 202</w:t>
      </w:r>
      <w:r>
        <w:rPr>
          <w:rFonts w:ascii="Arial" w:hAnsi="Arial" w:cs="Arial"/>
          <w:sz w:val="20"/>
          <w:szCs w:val="20"/>
        </w:rPr>
        <w:t>4</w:t>
      </w:r>
      <w:r w:rsidRPr="002112D3">
        <w:rPr>
          <w:rFonts w:ascii="Arial" w:hAnsi="Arial" w:cs="Arial"/>
          <w:sz w:val="20"/>
          <w:szCs w:val="20"/>
        </w:rPr>
        <w:t>.</w:t>
      </w:r>
    </w:p>
    <w:p w:rsidR="00206F4E" w:rsidRPr="00177BEC" w:rsidRDefault="00206F4E" w:rsidP="00206F4E">
      <w:pPr>
        <w:pStyle w:val="Odstavecseseznamem"/>
        <w:widowControl w:val="0"/>
        <w:numPr>
          <w:ilvl w:val="0"/>
          <w:numId w:val="4"/>
        </w:numPr>
        <w:spacing w:after="0" w:line="276" w:lineRule="auto"/>
        <w:jc w:val="both"/>
        <w:rPr>
          <w:rFonts w:ascii="Arial" w:hAnsi="Arial" w:cs="Arial"/>
          <w:sz w:val="20"/>
          <w:szCs w:val="20"/>
        </w:rPr>
      </w:pPr>
      <w:r>
        <w:rPr>
          <w:rFonts w:ascii="Arial" w:hAnsi="Arial" w:cs="Arial"/>
          <w:sz w:val="20"/>
          <w:szCs w:val="20"/>
        </w:rPr>
        <w:t>Doklady prokazující využití dotace musí být viditelně označeny „Hrazeno z Fondu sociální pomoci a prevence města Uherské Hradiště“.</w:t>
      </w:r>
    </w:p>
    <w:p w:rsidR="00206F4E" w:rsidRPr="00804B90" w:rsidRDefault="00206F4E" w:rsidP="004B1701">
      <w:pPr>
        <w:widowControl w:val="0"/>
        <w:numPr>
          <w:ilvl w:val="0"/>
          <w:numId w:val="4"/>
        </w:numPr>
        <w:spacing w:after="0" w:line="276" w:lineRule="auto"/>
        <w:jc w:val="both"/>
        <w:rPr>
          <w:rFonts w:ascii="Arial" w:hAnsi="Arial" w:cs="Arial"/>
          <w:sz w:val="20"/>
          <w:szCs w:val="20"/>
        </w:rPr>
      </w:pPr>
      <w:r w:rsidRPr="00804B90">
        <w:rPr>
          <w:rFonts w:ascii="Arial" w:hAnsi="Arial" w:cs="Arial"/>
          <w:sz w:val="20"/>
          <w:szCs w:val="20"/>
        </w:rPr>
        <w:t xml:space="preserve">Příjemce dotace je povinen současně s vyúčtováním, tj. do </w:t>
      </w:r>
      <w:proofErr w:type="gramStart"/>
      <w:r w:rsidRPr="00804B90">
        <w:rPr>
          <w:rFonts w:ascii="Arial" w:hAnsi="Arial" w:cs="Arial"/>
          <w:b/>
          <w:sz w:val="20"/>
          <w:szCs w:val="20"/>
        </w:rPr>
        <w:t>15.1.2025</w:t>
      </w:r>
      <w:proofErr w:type="gramEnd"/>
      <w:r w:rsidRPr="00804B90">
        <w:rPr>
          <w:rFonts w:ascii="Arial" w:hAnsi="Arial" w:cs="Arial"/>
          <w:sz w:val="20"/>
          <w:szCs w:val="20"/>
        </w:rPr>
        <w:t xml:space="preserve"> předložit způsob propagace podpory města Uherské Hradiště </w:t>
      </w:r>
      <w:r w:rsidR="00095106" w:rsidRPr="00804B90">
        <w:rPr>
          <w:rFonts w:ascii="Arial" w:hAnsi="Arial" w:cs="Arial"/>
          <w:sz w:val="20"/>
          <w:szCs w:val="20"/>
        </w:rPr>
        <w:t>(např. fotodokumentace, letáky, plakáty, místní časopis, výroční zpráv</w:t>
      </w:r>
      <w:r w:rsidR="00095106">
        <w:rPr>
          <w:rFonts w:ascii="Arial" w:hAnsi="Arial" w:cs="Arial"/>
          <w:sz w:val="20"/>
          <w:szCs w:val="20"/>
        </w:rPr>
        <w:t>a</w:t>
      </w:r>
      <w:r w:rsidR="00095106" w:rsidRPr="00804B90">
        <w:rPr>
          <w:rFonts w:ascii="Arial" w:hAnsi="Arial" w:cs="Arial"/>
          <w:sz w:val="20"/>
          <w:szCs w:val="20"/>
        </w:rPr>
        <w:t xml:space="preserve"> organizace</w:t>
      </w:r>
      <w:r w:rsidR="00095106">
        <w:rPr>
          <w:rFonts w:ascii="Arial" w:hAnsi="Arial" w:cs="Arial"/>
          <w:sz w:val="20"/>
          <w:szCs w:val="20"/>
        </w:rPr>
        <w:t>,</w:t>
      </w:r>
      <w:r w:rsidR="00095106" w:rsidRPr="00804B90">
        <w:rPr>
          <w:rFonts w:ascii="Arial" w:hAnsi="Arial" w:cs="Arial"/>
          <w:sz w:val="20"/>
          <w:szCs w:val="20"/>
        </w:rPr>
        <w:t xml:space="preserve"> </w:t>
      </w:r>
      <w:r w:rsidR="00095106">
        <w:rPr>
          <w:rFonts w:ascii="Arial" w:hAnsi="Arial" w:cs="Arial"/>
          <w:sz w:val="20"/>
          <w:szCs w:val="20"/>
        </w:rPr>
        <w:t xml:space="preserve">odkaz na </w:t>
      </w:r>
      <w:r w:rsidR="00095106" w:rsidRPr="00804B90">
        <w:rPr>
          <w:rFonts w:ascii="Arial" w:hAnsi="Arial" w:cs="Arial"/>
          <w:sz w:val="20"/>
          <w:szCs w:val="20"/>
        </w:rPr>
        <w:t xml:space="preserve">www stránky </w:t>
      </w:r>
      <w:r w:rsidR="00095106">
        <w:rPr>
          <w:rFonts w:ascii="Arial" w:hAnsi="Arial" w:cs="Arial"/>
          <w:sz w:val="20"/>
          <w:szCs w:val="20"/>
        </w:rPr>
        <w:t>příjemce</w:t>
      </w:r>
      <w:r w:rsidR="00095106" w:rsidRPr="00804B90">
        <w:rPr>
          <w:rFonts w:ascii="Arial" w:hAnsi="Arial" w:cs="Arial"/>
          <w:sz w:val="20"/>
          <w:szCs w:val="20"/>
        </w:rPr>
        <w:t xml:space="preserve">, </w:t>
      </w:r>
      <w:r w:rsidR="00095106">
        <w:rPr>
          <w:rFonts w:ascii="Arial" w:hAnsi="Arial" w:cs="Arial"/>
          <w:sz w:val="20"/>
          <w:szCs w:val="20"/>
        </w:rPr>
        <w:t xml:space="preserve">kde je možno si splnění podmínky publicity ověřit, </w:t>
      </w:r>
      <w:r w:rsidR="00095106" w:rsidRPr="00804B90">
        <w:rPr>
          <w:rFonts w:ascii="Arial" w:hAnsi="Arial" w:cs="Arial"/>
          <w:sz w:val="20"/>
          <w:szCs w:val="20"/>
        </w:rPr>
        <w:t xml:space="preserve">apod.). </w:t>
      </w:r>
      <w:r w:rsidRPr="00804B90">
        <w:rPr>
          <w:rFonts w:ascii="Arial" w:hAnsi="Arial" w:cs="Arial"/>
          <w:sz w:val="20"/>
          <w:szCs w:val="20"/>
        </w:rPr>
        <w:t>Příjemce dotace je povinen uvést v propagačních materiálech, že je podporován městem Uherské Hradiště</w:t>
      </w:r>
      <w:r w:rsidR="00095106">
        <w:rPr>
          <w:rFonts w:ascii="Arial" w:hAnsi="Arial" w:cs="Arial"/>
          <w:sz w:val="20"/>
          <w:szCs w:val="20"/>
        </w:rPr>
        <w:t>.</w:t>
      </w:r>
      <w:r w:rsidRPr="00804B90">
        <w:rPr>
          <w:rFonts w:ascii="Arial" w:hAnsi="Arial" w:cs="Arial"/>
          <w:sz w:val="20"/>
          <w:szCs w:val="20"/>
        </w:rPr>
        <w:t xml:space="preserve"> </w:t>
      </w:r>
    </w:p>
    <w:p w:rsidR="00206F4E" w:rsidRPr="002112D3" w:rsidRDefault="00206F4E" w:rsidP="00206F4E">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pouze oprávněné náklady a výdaje. Příjemce bere na vědomí, že poskytnutá dotace nesmí být uplatněna na úhradu nákladů:</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vyplacení cestovních náhrad u zahraničních pracovních cest,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úhrada nákladů na</w:t>
      </w:r>
      <w:r>
        <w:rPr>
          <w:rFonts w:ascii="Arial" w:hAnsi="Arial" w:cs="Arial"/>
          <w:sz w:val="20"/>
          <w:szCs w:val="20"/>
        </w:rPr>
        <w:t xml:space="preserve"> alkohol a pohoštění a</w:t>
      </w:r>
      <w:r w:rsidRPr="002112D3">
        <w:rPr>
          <w:rFonts w:ascii="Arial" w:hAnsi="Arial" w:cs="Arial"/>
          <w:sz w:val="20"/>
          <w:szCs w:val="20"/>
        </w:rPr>
        <w:t xml:space="preserve"> občerstvení,</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daň z přidané hodnoty (u osob povinných k dani z přidané hodnoty v případě zákonného nároku na odpočet),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 xml:space="preserve">dary </w:t>
      </w:r>
      <w:r>
        <w:rPr>
          <w:rFonts w:ascii="Arial" w:hAnsi="Arial" w:cs="Arial"/>
          <w:sz w:val="20"/>
          <w:szCs w:val="20"/>
        </w:rPr>
        <w:t xml:space="preserve">a odměny </w:t>
      </w:r>
      <w:r w:rsidRPr="002112D3">
        <w:rPr>
          <w:rFonts w:ascii="Arial" w:hAnsi="Arial" w:cs="Arial"/>
          <w:sz w:val="20"/>
          <w:szCs w:val="20"/>
        </w:rPr>
        <w:t>třetím osobám mimo drobné věcné dary osobám ohroženým sociálním vyloučením (potraviny, hygienické potřeby, drobné kusy oblečení a obuvi aj.),</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rezervy na budoucí možné ztráty nebo dluhy,</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úroky</w:t>
      </w:r>
      <w:r>
        <w:rPr>
          <w:rFonts w:ascii="Arial" w:hAnsi="Arial" w:cs="Arial"/>
          <w:sz w:val="20"/>
          <w:szCs w:val="20"/>
        </w:rPr>
        <w:t xml:space="preserve"> z úvěrů</w:t>
      </w:r>
      <w:r w:rsidRPr="002112D3">
        <w:rPr>
          <w:rFonts w:ascii="Arial" w:hAnsi="Arial" w:cs="Arial"/>
          <w:sz w:val="20"/>
          <w:szCs w:val="20"/>
        </w:rPr>
        <w:t>, které dluží příjemce třetí osobě,</w:t>
      </w:r>
      <w:r>
        <w:rPr>
          <w:rFonts w:ascii="Arial" w:hAnsi="Arial" w:cs="Arial"/>
          <w:sz w:val="20"/>
          <w:szCs w:val="20"/>
        </w:rPr>
        <w:t xml:space="preserve"> náhrady škod, pojistné,</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 xml:space="preserve">pořízení nemovitého investičního majetku, </w:t>
      </w:r>
      <w:r w:rsidRPr="002112D3">
        <w:rPr>
          <w:rFonts w:ascii="Arial" w:hAnsi="Arial" w:cs="Arial"/>
          <w:sz w:val="20"/>
          <w:szCs w:val="20"/>
        </w:rPr>
        <w:t>odpisy</w:t>
      </w:r>
      <w:r>
        <w:rPr>
          <w:rFonts w:ascii="Arial" w:hAnsi="Arial" w:cs="Arial"/>
          <w:sz w:val="20"/>
          <w:szCs w:val="20"/>
        </w:rPr>
        <w:t xml:space="preserve"> dlouhodobého</w:t>
      </w:r>
      <w:r w:rsidRPr="002112D3">
        <w:rPr>
          <w:rFonts w:ascii="Arial" w:hAnsi="Arial" w:cs="Arial"/>
          <w:sz w:val="20"/>
          <w:szCs w:val="20"/>
        </w:rPr>
        <w:t xml:space="preserve"> majetku,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pokuty, penále a jiné sankce,</w:t>
      </w:r>
    </w:p>
    <w:p w:rsidR="00206F4E"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odváděné členské či jiné příspěvky podobného typu,</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Pr>
          <w:rFonts w:ascii="Arial" w:hAnsi="Arial" w:cs="Arial"/>
          <w:sz w:val="20"/>
          <w:szCs w:val="20"/>
        </w:rPr>
        <w:t>správní a místní poplatky, úhradu projektové dokumentace,</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nevyúčtované zálohové platby (tzn. bez konečného vyúčtování).</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závěrečném vypořádání dotace:</w:t>
      </w:r>
    </w:p>
    <w:p w:rsidR="00206F4E" w:rsidRPr="002112D3" w:rsidRDefault="00206F4E" w:rsidP="00F80F29">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Příjemce je povinen předložit poskytovateli do </w:t>
      </w:r>
      <w:proofErr w:type="gramStart"/>
      <w:r w:rsidRPr="002112D3">
        <w:rPr>
          <w:rFonts w:ascii="Arial" w:hAnsi="Arial" w:cs="Arial"/>
          <w:b/>
          <w:sz w:val="20"/>
          <w:szCs w:val="20"/>
        </w:rPr>
        <w:t>1</w:t>
      </w:r>
      <w:r>
        <w:rPr>
          <w:rFonts w:ascii="Arial" w:hAnsi="Arial" w:cs="Arial"/>
          <w:b/>
          <w:sz w:val="20"/>
          <w:szCs w:val="20"/>
        </w:rPr>
        <w:t>5</w:t>
      </w:r>
      <w:r w:rsidRPr="002112D3">
        <w:rPr>
          <w:rFonts w:ascii="Arial" w:hAnsi="Arial" w:cs="Arial"/>
          <w:b/>
          <w:bCs/>
          <w:iCs/>
          <w:sz w:val="20"/>
          <w:szCs w:val="20"/>
        </w:rPr>
        <w:t>.7.202</w:t>
      </w:r>
      <w:r>
        <w:rPr>
          <w:rFonts w:ascii="Arial" w:hAnsi="Arial" w:cs="Arial"/>
          <w:b/>
          <w:bCs/>
          <w:iCs/>
          <w:sz w:val="20"/>
          <w:szCs w:val="20"/>
        </w:rPr>
        <w:t>5</w:t>
      </w:r>
      <w:proofErr w:type="gramEnd"/>
      <w:r w:rsidRPr="002112D3">
        <w:rPr>
          <w:rFonts w:ascii="Arial" w:hAnsi="Arial" w:cs="Arial"/>
          <w:b/>
          <w:bCs/>
          <w:iCs/>
          <w:sz w:val="20"/>
          <w:szCs w:val="20"/>
        </w:rPr>
        <w:t xml:space="preserve"> </w:t>
      </w:r>
      <w:r w:rsidRPr="002112D3">
        <w:rPr>
          <w:rFonts w:ascii="Arial" w:hAnsi="Arial" w:cs="Arial"/>
          <w:sz w:val="20"/>
          <w:szCs w:val="20"/>
        </w:rPr>
        <w:t>za každou sociální službu, na jejíž poskytování příjemce obdržel dotaci:</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„Obsahové zhodnocení projektu dotovaného z Fondu sociální pomoci a prevence města Uherské Hradiště v roce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Výkaz zisku a ztráty nebo přehled nákladů a výnosů roku 202</w:t>
      </w:r>
      <w:r>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bCs/>
          <w:iCs/>
          <w:sz w:val="20"/>
          <w:szCs w:val="20"/>
        </w:rPr>
        <w:t xml:space="preserve">Přehled </w:t>
      </w:r>
      <w:r w:rsidRPr="002112D3">
        <w:rPr>
          <w:rFonts w:ascii="Arial" w:hAnsi="Arial" w:cs="Arial"/>
          <w:sz w:val="20"/>
          <w:szCs w:val="20"/>
        </w:rPr>
        <w:t xml:space="preserve">finančních prostředků (dotací, příspěvků, finančních darů, vlastních zdrojů aj.), </w:t>
      </w:r>
      <w:r w:rsidRPr="002112D3">
        <w:rPr>
          <w:rFonts w:ascii="Arial" w:hAnsi="Arial" w:cs="Arial"/>
          <w:bCs/>
          <w:iCs/>
          <w:sz w:val="20"/>
          <w:szCs w:val="20"/>
        </w:rPr>
        <w:t>které obdržel</w:t>
      </w:r>
      <w:r w:rsidRPr="002112D3">
        <w:rPr>
          <w:rFonts w:ascii="Arial" w:hAnsi="Arial" w:cs="Arial"/>
          <w:sz w:val="20"/>
          <w:szCs w:val="20"/>
        </w:rPr>
        <w:t xml:space="preserve"> </w:t>
      </w:r>
      <w:r w:rsidRPr="002112D3">
        <w:rPr>
          <w:rFonts w:ascii="Arial" w:hAnsi="Arial" w:cs="Arial"/>
          <w:bCs/>
          <w:iCs/>
          <w:sz w:val="20"/>
          <w:szCs w:val="20"/>
        </w:rPr>
        <w:t>v roce 202</w:t>
      </w:r>
      <w:r>
        <w:rPr>
          <w:rFonts w:ascii="Arial" w:hAnsi="Arial" w:cs="Arial"/>
          <w:bCs/>
          <w:iCs/>
          <w:sz w:val="20"/>
          <w:szCs w:val="20"/>
        </w:rPr>
        <w:t>4</w:t>
      </w:r>
      <w:r w:rsidRPr="002112D3">
        <w:rPr>
          <w:rFonts w:ascii="Arial" w:hAnsi="Arial" w:cs="Arial"/>
          <w:bCs/>
          <w:iCs/>
          <w:sz w:val="20"/>
          <w:szCs w:val="20"/>
        </w:rPr>
        <w:t xml:space="preserve"> od jiných fyzických nebo právnických osob</w:t>
      </w:r>
      <w:r w:rsidRPr="002112D3">
        <w:rPr>
          <w:rFonts w:ascii="Arial" w:hAnsi="Arial" w:cs="Arial"/>
          <w:sz w:val="20"/>
          <w:szCs w:val="20"/>
        </w:rPr>
        <w:t xml:space="preserve"> na poskytování sociálních služeb.</w:t>
      </w:r>
    </w:p>
    <w:p w:rsidR="00206F4E" w:rsidRPr="002112D3" w:rsidRDefault="00206F4E" w:rsidP="00206F4E">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Výroční zprávu příjemce za rok 202</w:t>
      </w:r>
      <w:r>
        <w:rPr>
          <w:rFonts w:ascii="Arial" w:hAnsi="Arial" w:cs="Arial"/>
          <w:sz w:val="20"/>
          <w:szCs w:val="20"/>
        </w:rPr>
        <w:t>4</w:t>
      </w:r>
      <w:r w:rsidRPr="002112D3">
        <w:rPr>
          <w:rFonts w:ascii="Arial" w:hAnsi="Arial" w:cs="Arial"/>
          <w:sz w:val="20"/>
          <w:szCs w:val="20"/>
        </w:rPr>
        <w:t xml:space="preserve"> (pokud tuto vydává).</w:t>
      </w:r>
    </w:p>
    <w:p w:rsidR="00206F4E" w:rsidRPr="002112D3" w:rsidRDefault="00206F4E" w:rsidP="00206F4E">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206F4E" w:rsidRPr="00547753" w:rsidRDefault="00206F4E" w:rsidP="00206F4E">
      <w:pPr>
        <w:widowControl w:val="0"/>
        <w:numPr>
          <w:ilvl w:val="0"/>
          <w:numId w:val="2"/>
        </w:numPr>
        <w:spacing w:after="0" w:line="276" w:lineRule="auto"/>
        <w:jc w:val="both"/>
        <w:rPr>
          <w:rFonts w:ascii="Arial" w:hAnsi="Arial" w:cs="Arial"/>
          <w:bCs/>
          <w:sz w:val="20"/>
          <w:szCs w:val="20"/>
        </w:rPr>
      </w:pPr>
      <w:r w:rsidRPr="002112D3">
        <w:rPr>
          <w:rFonts w:ascii="Arial" w:hAnsi="Arial" w:cs="Arial"/>
          <w:sz w:val="20"/>
          <w:szCs w:val="20"/>
        </w:rPr>
        <w:t xml:space="preserve">Příjemce dotace je poskytovatelem služeb obecného </w:t>
      </w:r>
      <w:r>
        <w:rPr>
          <w:rFonts w:ascii="Arial" w:hAnsi="Arial" w:cs="Arial"/>
          <w:sz w:val="20"/>
          <w:szCs w:val="20"/>
        </w:rPr>
        <w:t xml:space="preserve">hospodářského </w:t>
      </w:r>
      <w:r w:rsidRPr="002112D3">
        <w:rPr>
          <w:rFonts w:ascii="Arial" w:hAnsi="Arial" w:cs="Arial"/>
          <w:sz w:val="20"/>
          <w:szCs w:val="20"/>
        </w:rPr>
        <w:t>zájmu na základě Pověření dle Čl. I písm. c). Poskytovatel přistupuje k tomuto Pověření a smlouva je uzavírána v návaznosti na Pověření.</w:t>
      </w:r>
    </w:p>
    <w:p w:rsidR="00206F4E" w:rsidRPr="002112D3" w:rsidRDefault="00206F4E" w:rsidP="00206F4E">
      <w:pPr>
        <w:spacing w:after="0" w:line="276" w:lineRule="auto"/>
        <w:ind w:left="357"/>
        <w:jc w:val="both"/>
        <w:rPr>
          <w:rFonts w:ascii="Arial" w:hAnsi="Arial" w:cs="Arial"/>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IV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Ostatní ujednání</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poskytovat sociální služby, na které požadoval dotaci</w:t>
      </w:r>
      <w:r w:rsidRPr="002112D3">
        <w:rPr>
          <w:rFonts w:ascii="Arial" w:hAnsi="Arial" w:cs="Arial"/>
          <w:bCs/>
          <w:sz w:val="20"/>
          <w:szCs w:val="20"/>
        </w:rPr>
        <w:t xml:space="preserve"> po celé období roku 202</w:t>
      </w:r>
      <w:r w:rsidR="00550AE9">
        <w:rPr>
          <w:rFonts w:ascii="Arial" w:hAnsi="Arial" w:cs="Arial"/>
          <w:bCs/>
          <w:sz w:val="20"/>
          <w:szCs w:val="20"/>
        </w:rPr>
        <w:t>4</w:t>
      </w:r>
      <w:r w:rsidRPr="002112D3">
        <w:rPr>
          <w:rFonts w:ascii="Arial" w:hAnsi="Arial" w:cs="Arial"/>
          <w:bCs/>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bCs/>
          <w:sz w:val="20"/>
          <w:szCs w:val="20"/>
        </w:rPr>
        <w:t>Příjemce je povinen</w:t>
      </w:r>
      <w:r>
        <w:rPr>
          <w:rFonts w:ascii="Arial" w:hAnsi="Arial" w:cs="Arial"/>
          <w:bCs/>
          <w:sz w:val="20"/>
          <w:szCs w:val="20"/>
        </w:rPr>
        <w:t xml:space="preserve"> po dobu 10 let od ukončení období, na které je dotace poskytnuta,</w:t>
      </w:r>
      <w:r w:rsidRPr="002112D3">
        <w:rPr>
          <w:rFonts w:ascii="Arial" w:hAnsi="Arial" w:cs="Arial"/>
          <w:bCs/>
          <w:sz w:val="20"/>
          <w:szCs w:val="20"/>
        </w:rPr>
        <w:t xml:space="preserve"> pečlivě evidovat</w:t>
      </w:r>
      <w:r>
        <w:rPr>
          <w:rFonts w:ascii="Arial" w:hAnsi="Arial" w:cs="Arial"/>
          <w:bCs/>
          <w:sz w:val="20"/>
          <w:szCs w:val="20"/>
        </w:rPr>
        <w:t xml:space="preserve"> a na základě požadavku poskytovateli předložit</w:t>
      </w:r>
      <w:r w:rsidRPr="002112D3">
        <w:rPr>
          <w:rFonts w:ascii="Arial" w:hAnsi="Arial" w:cs="Arial"/>
          <w:bCs/>
          <w:sz w:val="20"/>
          <w:szCs w:val="20"/>
        </w:rPr>
        <w:t>:</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Pr>
          <w:rFonts w:ascii="Arial" w:hAnsi="Arial" w:cs="Arial"/>
          <w:bCs/>
          <w:sz w:val="20"/>
          <w:szCs w:val="20"/>
        </w:rPr>
        <w:t>výkonové indikátory roku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tj. počet</w:t>
      </w:r>
      <w:r>
        <w:rPr>
          <w:rFonts w:ascii="Arial" w:hAnsi="Arial" w:cs="Arial"/>
          <w:bCs/>
          <w:sz w:val="20"/>
          <w:szCs w:val="20"/>
        </w:rPr>
        <w:t xml:space="preserve"> skutečně poskytnutých</w:t>
      </w:r>
      <w:r w:rsidRPr="002112D3">
        <w:rPr>
          <w:rFonts w:ascii="Arial" w:hAnsi="Arial" w:cs="Arial"/>
          <w:bCs/>
          <w:sz w:val="20"/>
          <w:szCs w:val="20"/>
        </w:rPr>
        <w:t xml:space="preserve"> jednotek sociálních služeb (</w:t>
      </w:r>
      <w:proofErr w:type="spellStart"/>
      <w:r w:rsidRPr="002112D3">
        <w:rPr>
          <w:rFonts w:ascii="Arial" w:hAnsi="Arial" w:cs="Arial"/>
          <w:bCs/>
          <w:sz w:val="20"/>
          <w:szCs w:val="20"/>
        </w:rPr>
        <w:t>lůžkodny</w:t>
      </w:r>
      <w:proofErr w:type="spellEnd"/>
      <w:r w:rsidRPr="002112D3">
        <w:rPr>
          <w:rFonts w:ascii="Arial" w:hAnsi="Arial" w:cs="Arial"/>
          <w:bCs/>
          <w:sz w:val="20"/>
          <w:szCs w:val="20"/>
        </w:rPr>
        <w:t xml:space="preserve">, </w:t>
      </w:r>
      <w:proofErr w:type="spellStart"/>
      <w:r w:rsidRPr="002112D3">
        <w:rPr>
          <w:rFonts w:ascii="Arial" w:hAnsi="Arial" w:cs="Arial"/>
          <w:bCs/>
          <w:sz w:val="20"/>
          <w:szCs w:val="20"/>
        </w:rPr>
        <w:t>bytodny</w:t>
      </w:r>
      <w:proofErr w:type="spellEnd"/>
      <w:r w:rsidRPr="002112D3">
        <w:rPr>
          <w:rFonts w:ascii="Arial" w:hAnsi="Arial" w:cs="Arial"/>
          <w:bCs/>
          <w:sz w:val="20"/>
          <w:szCs w:val="20"/>
        </w:rPr>
        <w:t xml:space="preserve">, hodiny, </w:t>
      </w:r>
      <w:proofErr w:type="spellStart"/>
      <w:r w:rsidRPr="002112D3">
        <w:rPr>
          <w:rFonts w:ascii="Arial" w:hAnsi="Arial" w:cs="Arial"/>
          <w:bCs/>
          <w:sz w:val="20"/>
          <w:szCs w:val="20"/>
        </w:rPr>
        <w:t>osobohodiny</w:t>
      </w:r>
      <w:proofErr w:type="spellEnd"/>
      <w:r w:rsidRPr="002112D3">
        <w:rPr>
          <w:rFonts w:ascii="Arial" w:hAnsi="Arial" w:cs="Arial"/>
          <w:bCs/>
          <w:sz w:val="20"/>
          <w:szCs w:val="20"/>
        </w:rPr>
        <w:t>)</w:t>
      </w:r>
      <w:r>
        <w:rPr>
          <w:rFonts w:ascii="Arial" w:hAnsi="Arial" w:cs="Arial"/>
          <w:bCs/>
          <w:sz w:val="20"/>
          <w:szCs w:val="20"/>
        </w:rPr>
        <w:t xml:space="preserve"> celkem</w:t>
      </w:r>
      <w:r w:rsidRPr="002112D3">
        <w:rPr>
          <w:rFonts w:ascii="Arial" w:hAnsi="Arial" w:cs="Arial"/>
          <w:bCs/>
          <w:sz w:val="20"/>
          <w:szCs w:val="20"/>
        </w:rPr>
        <w:t xml:space="preserve">, </w:t>
      </w:r>
      <w:r>
        <w:rPr>
          <w:rFonts w:ascii="Arial" w:hAnsi="Arial" w:cs="Arial"/>
          <w:bCs/>
          <w:sz w:val="20"/>
          <w:szCs w:val="20"/>
        </w:rPr>
        <w:t xml:space="preserve">z toho počet </w:t>
      </w:r>
      <w:r w:rsidRPr="002112D3">
        <w:rPr>
          <w:rFonts w:ascii="Arial" w:hAnsi="Arial" w:cs="Arial"/>
          <w:bCs/>
          <w:sz w:val="20"/>
          <w:szCs w:val="20"/>
        </w:rPr>
        <w:t xml:space="preserve">těchto jednotek pro </w:t>
      </w:r>
      <w:r w:rsidRPr="002112D3">
        <w:rPr>
          <w:rFonts w:ascii="Arial" w:hAnsi="Arial" w:cs="Arial"/>
          <w:bCs/>
          <w:sz w:val="20"/>
          <w:szCs w:val="20"/>
        </w:rPr>
        <w:lastRenderedPageBreak/>
        <w:t>o</w:t>
      </w:r>
      <w:r>
        <w:rPr>
          <w:rFonts w:ascii="Arial" w:hAnsi="Arial" w:cs="Arial"/>
          <w:bCs/>
          <w:sz w:val="20"/>
          <w:szCs w:val="20"/>
        </w:rPr>
        <w:t>bčany</w:t>
      </w:r>
      <w:r w:rsidRPr="002112D3">
        <w:rPr>
          <w:rFonts w:ascii="Arial" w:hAnsi="Arial" w:cs="Arial"/>
          <w:bCs/>
          <w:sz w:val="20"/>
          <w:szCs w:val="20"/>
        </w:rPr>
        <w:t xml:space="preserve"> města Uherské Hradiště. Jednotky sociálních služeb jsou specifikovány v Příloze této smlouvy</w:t>
      </w:r>
      <w:r>
        <w:rPr>
          <w:rFonts w:ascii="Arial" w:hAnsi="Arial" w:cs="Arial"/>
          <w:bCs/>
          <w:sz w:val="20"/>
          <w:szCs w:val="20"/>
        </w:rPr>
        <w:t xml:space="preserve"> a Manuálu pro výpočet jednotky sociální služby, kterým je příjemce povinen se řídit.</w:t>
      </w:r>
    </w:p>
    <w:p w:rsidR="00206F4E" w:rsidRPr="002112D3" w:rsidRDefault="00206F4E" w:rsidP="00206F4E">
      <w:pPr>
        <w:widowControl w:val="0"/>
        <w:numPr>
          <w:ilvl w:val="1"/>
          <w:numId w:val="6"/>
        </w:numPr>
        <w:spacing w:after="0" w:line="276" w:lineRule="auto"/>
        <w:ind w:left="708"/>
        <w:jc w:val="both"/>
        <w:rPr>
          <w:rFonts w:ascii="Arial" w:hAnsi="Arial" w:cs="Arial"/>
          <w:bCs/>
          <w:sz w:val="20"/>
          <w:szCs w:val="20"/>
        </w:rPr>
      </w:pPr>
      <w:r w:rsidRPr="002112D3">
        <w:rPr>
          <w:rFonts w:ascii="Arial" w:hAnsi="Arial" w:cs="Arial"/>
          <w:bCs/>
          <w:sz w:val="20"/>
          <w:szCs w:val="20"/>
        </w:rPr>
        <w:t>počet osob, kterým byla v roce 202</w:t>
      </w:r>
      <w:r w:rsidR="00550AE9">
        <w:rPr>
          <w:rFonts w:ascii="Arial" w:hAnsi="Arial" w:cs="Arial"/>
          <w:bCs/>
          <w:sz w:val="20"/>
          <w:szCs w:val="20"/>
        </w:rPr>
        <w:t>3</w:t>
      </w:r>
      <w:r>
        <w:rPr>
          <w:rFonts w:ascii="Arial" w:hAnsi="Arial" w:cs="Arial"/>
          <w:bCs/>
          <w:sz w:val="20"/>
          <w:szCs w:val="20"/>
        </w:rPr>
        <w:t xml:space="preserve"> a 202</w:t>
      </w:r>
      <w:r w:rsidR="00550AE9">
        <w:rPr>
          <w:rFonts w:ascii="Arial" w:hAnsi="Arial" w:cs="Arial"/>
          <w:bCs/>
          <w:sz w:val="20"/>
          <w:szCs w:val="20"/>
        </w:rPr>
        <w:t>4</w:t>
      </w:r>
      <w:r w:rsidRPr="002112D3">
        <w:rPr>
          <w:rFonts w:ascii="Arial" w:hAnsi="Arial" w:cs="Arial"/>
          <w:bCs/>
          <w:sz w:val="20"/>
          <w:szCs w:val="20"/>
        </w:rPr>
        <w:t xml:space="preserve"> sociální služba poskytnuta, tj. uchovávat jmenný seznam těchto osob s uvedením jejich trvalého pobytu a data narození. V případě odborného 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2112D3">
        <w:rPr>
          <w:rFonts w:ascii="Arial" w:hAnsi="Arial" w:cs="Arial"/>
          <w:sz w:val="20"/>
          <w:szCs w:val="20"/>
        </w:rPr>
        <w:t>27.4.2016</w:t>
      </w:r>
      <w:proofErr w:type="gramEnd"/>
      <w:r w:rsidRPr="002112D3">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zánik, transformaci (změnu právní formy se změnou IČO), sloučení</w:t>
      </w:r>
      <w:r w:rsidR="00387400">
        <w:rPr>
          <w:rFonts w:ascii="Arial" w:hAnsi="Arial" w:cs="Arial"/>
          <w:sz w:val="20"/>
          <w:szCs w:val="20"/>
        </w:rPr>
        <w:t>, změnu vlastníka nebo statutárního zástupce</w:t>
      </w:r>
      <w:r w:rsidRPr="002112D3">
        <w:rPr>
          <w:rFonts w:ascii="Arial" w:hAnsi="Arial" w:cs="Arial"/>
          <w:sz w:val="20"/>
          <w:szCs w:val="20"/>
        </w:rPr>
        <w:t xml:space="preserve"> či jiné podstatné skutečnosti mající vliv na čerpání dotace (především vyhlášení konkurzu na majetek příjemce aj.) a neuskutečňování sociální služby po celé období roku 202</w:t>
      </w:r>
      <w:r w:rsidR="00550AE9">
        <w:rPr>
          <w:rFonts w:ascii="Arial" w:hAnsi="Arial" w:cs="Arial"/>
          <w:sz w:val="20"/>
          <w:szCs w:val="20"/>
        </w:rPr>
        <w:t>4</w:t>
      </w:r>
      <w:r w:rsidRPr="002112D3">
        <w:rPr>
          <w:rFonts w:ascii="Arial" w:hAnsi="Arial" w:cs="Arial"/>
          <w:sz w:val="20"/>
          <w:szCs w:val="20"/>
        </w:rPr>
        <w:t xml:space="preserve"> je povinen oznámit písemně poskytovateli na jeho adresu uvedenou v záhlaví smlouvy nejpozději do </w:t>
      </w:r>
      <w:r w:rsidR="00387400">
        <w:rPr>
          <w:rFonts w:ascii="Arial" w:hAnsi="Arial" w:cs="Arial"/>
          <w:sz w:val="20"/>
          <w:szCs w:val="20"/>
        </w:rPr>
        <w:t>15</w:t>
      </w:r>
      <w:r w:rsidRPr="002112D3">
        <w:rPr>
          <w:rFonts w:ascii="Arial" w:hAnsi="Arial" w:cs="Arial"/>
          <w:sz w:val="20"/>
          <w:szCs w:val="20"/>
        </w:rPr>
        <w:t xml:space="preserve"> kalendářních dnů ode dne vzniku této skutečnosti a je dále povinen:</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206F4E" w:rsidRPr="002112D3" w:rsidRDefault="00206F4E" w:rsidP="00206F4E">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pro vyúčtování dotace dle celého tohoto odstavce platí ustanovení Čl. III, odst. 5, písm. a), d), e), f)</w:t>
      </w:r>
      <w:r>
        <w:rPr>
          <w:rFonts w:ascii="Arial" w:hAnsi="Arial" w:cs="Arial"/>
          <w:sz w:val="20"/>
          <w:szCs w:val="20"/>
        </w:rPr>
        <w:t>, g)</w:t>
      </w:r>
      <w:r w:rsidRPr="002112D3">
        <w:rPr>
          <w:rFonts w:ascii="Arial" w:hAnsi="Arial" w:cs="Arial"/>
          <w:sz w:val="20"/>
          <w:szCs w:val="20"/>
        </w:rPr>
        <w:t xml:space="preserve"> smlouvy.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2112D3">
        <w:rPr>
          <w:rFonts w:ascii="Arial" w:hAnsi="Arial" w:cs="Arial"/>
          <w:sz w:val="20"/>
          <w:szCs w:val="20"/>
        </w:rPr>
        <w:tab/>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poskytovatel závazně nestanovuje minimální finanční spoluúčast příjemce na poskytování sociálních služeb realizovaných v roce 202</w:t>
      </w:r>
      <w:r w:rsidR="00550AE9">
        <w:rPr>
          <w:rFonts w:ascii="Arial" w:hAnsi="Arial" w:cs="Arial"/>
          <w:sz w:val="20"/>
          <w:szCs w:val="20"/>
        </w:rPr>
        <w:t>4</w:t>
      </w:r>
      <w:r w:rsidRPr="002112D3">
        <w:rPr>
          <w:rFonts w:ascii="Arial" w:hAnsi="Arial" w:cs="Arial"/>
          <w:sz w:val="20"/>
          <w:szCs w:val="20"/>
        </w:rPr>
        <w:t>.</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2112D3">
        <w:rPr>
          <w:rFonts w:ascii="Arial" w:hAnsi="Arial" w:cs="Arial"/>
          <w:sz w:val="20"/>
          <w:szCs w:val="20"/>
        </w:rPr>
        <w:t>20.12.2011</w:t>
      </w:r>
      <w:proofErr w:type="gramEnd"/>
      <w:r w:rsidRPr="002112D3">
        <w:rPr>
          <w:rFonts w:ascii="Arial" w:hAnsi="Arial" w:cs="Arial"/>
          <w:sz w:val="20"/>
          <w:szCs w:val="20"/>
        </w:rPr>
        <w:t xml:space="preserve"> o použití čl. 106 odst. 2 Smlouvy o fungování Evropské unie. Dotace dle této smlouvy je takto poskytovatelem poskytována jako součást vyrovnávací platby.</w:t>
      </w:r>
    </w:p>
    <w:p w:rsidR="00206F4E" w:rsidRPr="002112D3" w:rsidRDefault="00206F4E" w:rsidP="00206F4E">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šuje, že se seznámil s podmínk</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mi poskytnutí dotace, kterou obdržel.</w:t>
      </w:r>
    </w:p>
    <w:p w:rsidR="00206F4E" w:rsidRPr="002112D3" w:rsidRDefault="00206F4E" w:rsidP="00206F4E">
      <w:pPr>
        <w:widowControl w:val="0"/>
        <w:spacing w:after="0" w:line="276" w:lineRule="auto"/>
        <w:jc w:val="both"/>
        <w:rPr>
          <w:rFonts w:ascii="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t>Čl. V</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Kontrola a sankce</w:t>
      </w:r>
    </w:p>
    <w:p w:rsidR="00206F4E" w:rsidRPr="002112D3" w:rsidRDefault="00BA13B0" w:rsidP="00BA13B0">
      <w:pPr>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 xml:space="preserve">Poskytovatel je oprávněn v souladu s ustanovením § 9 odst. 2 zákona č. 320/2001 Sb., o finanční kontrole ve veřejné správě a o změně některých zákonů, ve znění pozdějších předpisů, ve znění vyhlášky Ministerstva financí ČR č. 416/2004 Sb., kterou se provádí zákon o finanční kontrole, zákonem 128/2000 Sb., o obcích (obecním zřízení), ve znění pozdějších předpisů, zákonem č. </w:t>
      </w:r>
      <w:r w:rsidRPr="00BA13B0">
        <w:rPr>
          <w:rFonts w:ascii="Arial" w:hAnsi="Arial" w:cs="Arial"/>
          <w:sz w:val="20"/>
          <w:szCs w:val="20"/>
        </w:rPr>
        <w:lastRenderedPageBreak/>
        <w:t>250/2000 Sb., o rozpočtových pravidlech územních rozpočtů, ve znění pozdějších předpisů, provést u příjemce dotace kontrolu finančních prostředků, které mu poskytuje</w:t>
      </w:r>
      <w:r>
        <w:rPr>
          <w:rFonts w:ascii="Arial" w:hAnsi="Arial" w:cs="Arial"/>
          <w:sz w:val="20"/>
          <w:szCs w:val="20"/>
        </w:rPr>
        <w:t xml:space="preserve">. </w:t>
      </w:r>
    </w:p>
    <w:p w:rsidR="00BA13B0" w:rsidRDefault="00BA13B0"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Příjemce je povinen poskytnout součinnost při výkonu kontrolní činnosti, zejména předložit kontrolnímu orgánu poskytovatele k nahlédnutí originály všech účetních dokladů prokazujících vznik uznatelných výdajů projektu a využití prostředků v souladu s účelem projektu, dále umožnit kontrolním orgánům kontrolu hospodaření s prostředky poskytovatele a kontrolu účetnictví celého projektu včetně vazby na své celkové účetnictví.</w:t>
      </w:r>
    </w:p>
    <w:p w:rsidR="00206F4E" w:rsidRPr="00BA13B0" w:rsidRDefault="00206F4E" w:rsidP="00AD5F69">
      <w:pPr>
        <w:pStyle w:val="Odstavecseseznamem"/>
        <w:widowControl w:val="0"/>
        <w:numPr>
          <w:ilvl w:val="0"/>
          <w:numId w:val="7"/>
        </w:numPr>
        <w:spacing w:after="0" w:line="276" w:lineRule="auto"/>
        <w:jc w:val="both"/>
        <w:rPr>
          <w:rFonts w:ascii="Arial" w:hAnsi="Arial" w:cs="Arial"/>
          <w:sz w:val="20"/>
          <w:szCs w:val="20"/>
        </w:rPr>
      </w:pPr>
      <w:r w:rsidRPr="00BA13B0">
        <w:rPr>
          <w:rFonts w:ascii="Arial" w:hAnsi="Arial" w:cs="Arial"/>
          <w:sz w:val="20"/>
          <w:szCs w:val="20"/>
        </w:rPr>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také rozumí:</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Opakované neumožnění veřejnosprávní kontroly, kterou příjemce prokazuje, jak byly peněžní prostředky použity.</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účetnictví v rámci veřejnosprávní kontroly v období 10 let od ukončení období, na které byla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seznamu osob [viz Čl. IV, odst. 2, písm. b)] v rámci veřejnosprávní kontroly v období 10 let od ukončení období, na které byla dotace poskytnuta.</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v rozporu se stanoveným účelem.</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neuznatelné náklady a výdaje.</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náklady a výdaje, které se netýkají období, na které je dotace poskytnuta.</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Zadržení finančních prostředků, tzn. nevrácení přeplatku poskytnuté dotace v termínu s</w:t>
      </w:r>
      <w:r>
        <w:rPr>
          <w:rFonts w:ascii="Arial" w:hAnsi="Arial" w:cs="Arial"/>
          <w:sz w:val="20"/>
          <w:szCs w:val="20"/>
        </w:rPr>
        <w:t xml:space="preserve">tanoveném na základě vyúčtování dle Čl. III, odst. 5, písm. c) a Čl. IV, odst. 4.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Neprokáže-li příjemce, jak byla dotace použita.</w:t>
      </w:r>
    </w:p>
    <w:p w:rsidR="00206F4E" w:rsidRPr="002112D3"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206F4E" w:rsidRPr="002112D3" w:rsidRDefault="00206F4E" w:rsidP="00206F4E">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V případě, kdy příjemce nepředloží požadované dokumenty uvedené:</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III, odst. 5 a odst. 6, </w:t>
      </w:r>
    </w:p>
    <w:p w:rsidR="00206F4E" w:rsidRPr="002112D3" w:rsidRDefault="00206F4E" w:rsidP="00206F4E">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IV, odst. 4,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206F4E" w:rsidRPr="002112D3" w:rsidRDefault="00206F4E" w:rsidP="00206F4E">
      <w:pPr>
        <w:widowControl w:val="0"/>
        <w:spacing w:after="0" w:line="276" w:lineRule="auto"/>
        <w:ind w:left="357"/>
        <w:jc w:val="both"/>
        <w:rPr>
          <w:rFonts w:ascii="Arial" w:hAnsi="Arial" w:cs="Arial"/>
          <w:sz w:val="20"/>
          <w:szCs w:val="20"/>
        </w:rPr>
      </w:pPr>
      <w:r w:rsidRPr="002112D3">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w:t>
      </w:r>
      <w:r>
        <w:rPr>
          <w:rFonts w:ascii="Arial" w:hAnsi="Arial" w:cs="Arial"/>
          <w:sz w:val="20"/>
          <w:szCs w:val="20"/>
        </w:rPr>
        <w:t>ty dle Čl. III, odst. 5, písm. f</w:t>
      </w:r>
      <w:r w:rsidRPr="002112D3">
        <w:rPr>
          <w:rFonts w:ascii="Arial" w:hAnsi="Arial" w:cs="Arial"/>
          <w:sz w:val="20"/>
          <w:szCs w:val="20"/>
        </w:rPr>
        <w:t>), jedná se o méně závažné porušení rozpočtové kázně, dle zákona č. 250/2000 Sb., za které bude příjemci nařízen odvod ve výši 10 % z poskytnuté částky dotace, vztahující se k příslušné sociální službě.</w:t>
      </w:r>
    </w:p>
    <w:p w:rsidR="00206F4E" w:rsidRDefault="00206F4E" w:rsidP="00206F4E">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A71AD5" w:rsidRPr="002112D3" w:rsidRDefault="00A71AD5" w:rsidP="00A71AD5">
      <w:pPr>
        <w:widowControl w:val="0"/>
        <w:spacing w:after="0" w:line="276" w:lineRule="auto"/>
        <w:ind w:left="357"/>
        <w:jc w:val="both"/>
        <w:rPr>
          <w:rFonts w:ascii="Arial" w:eastAsia="Arial" w:hAnsi="Arial" w:cs="Arial"/>
          <w:b/>
          <w:bCs/>
          <w:sz w:val="20"/>
          <w:szCs w:val="20"/>
        </w:rPr>
      </w:pPr>
    </w:p>
    <w:p w:rsidR="00206F4E" w:rsidRPr="002112D3" w:rsidRDefault="00206F4E" w:rsidP="00206F4E">
      <w:pPr>
        <w:spacing w:after="0" w:line="276" w:lineRule="auto"/>
        <w:ind w:left="20"/>
        <w:jc w:val="both"/>
        <w:rPr>
          <w:rFonts w:ascii="Arial" w:eastAsia="Arial" w:hAnsi="Arial" w:cs="Arial"/>
          <w:b/>
          <w:bCs/>
          <w:sz w:val="20"/>
          <w:szCs w:val="20"/>
        </w:rPr>
      </w:pPr>
    </w:p>
    <w:p w:rsidR="00206F4E" w:rsidRPr="002112D3" w:rsidRDefault="00206F4E" w:rsidP="00206F4E">
      <w:pPr>
        <w:widowControl w:val="0"/>
        <w:spacing w:after="0" w:line="276" w:lineRule="auto"/>
        <w:jc w:val="center"/>
        <w:rPr>
          <w:rFonts w:ascii="Arial" w:hAnsi="Arial" w:cs="Arial"/>
          <w:b/>
          <w:bCs/>
          <w:sz w:val="20"/>
          <w:szCs w:val="20"/>
        </w:rPr>
      </w:pPr>
      <w:r w:rsidRPr="002112D3">
        <w:rPr>
          <w:rFonts w:ascii="Arial" w:hAnsi="Arial" w:cs="Arial"/>
          <w:b/>
          <w:bCs/>
          <w:sz w:val="20"/>
          <w:szCs w:val="20"/>
        </w:rPr>
        <w:lastRenderedPageBreak/>
        <w:t>Čl. VI</w:t>
      </w:r>
    </w:p>
    <w:p w:rsidR="00206F4E" w:rsidRPr="002112D3" w:rsidRDefault="00206F4E" w:rsidP="00206F4E">
      <w:pPr>
        <w:widowControl w:val="0"/>
        <w:spacing w:after="120" w:line="276" w:lineRule="auto"/>
        <w:jc w:val="center"/>
        <w:rPr>
          <w:rFonts w:ascii="Arial" w:hAnsi="Arial" w:cs="Arial"/>
          <w:sz w:val="20"/>
          <w:szCs w:val="20"/>
        </w:rPr>
      </w:pPr>
      <w:r w:rsidRPr="002112D3">
        <w:rPr>
          <w:rFonts w:ascii="Arial" w:hAnsi="Arial" w:cs="Arial"/>
          <w:b/>
          <w:bCs/>
          <w:sz w:val="20"/>
          <w:szCs w:val="20"/>
        </w:rPr>
        <w:t>Závěrečná ustanovení</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 xml:space="preserve">Právní vztahy neupravené touto smlouvou se řídí </w:t>
      </w:r>
      <w:r w:rsidR="000058AE">
        <w:rPr>
          <w:rFonts w:ascii="Arial" w:hAnsi="Arial" w:cs="Arial"/>
          <w:sz w:val="20"/>
          <w:szCs w:val="20"/>
        </w:rPr>
        <w:t xml:space="preserve">příslušnými </w:t>
      </w:r>
      <w:r w:rsidRPr="002112D3">
        <w:rPr>
          <w:rFonts w:ascii="Arial" w:hAnsi="Arial" w:cs="Arial"/>
          <w:sz w:val="20"/>
          <w:szCs w:val="20"/>
        </w:rPr>
        <w:t xml:space="preserve">ustanoveními zákona č. 500/2004 Sb., správní řád, </w:t>
      </w:r>
      <w:r w:rsidR="000058AE">
        <w:rPr>
          <w:rFonts w:ascii="Arial" w:hAnsi="Arial" w:cs="Arial"/>
          <w:sz w:val="20"/>
          <w:szCs w:val="20"/>
        </w:rPr>
        <w:t xml:space="preserve">zákona č. 250/2000 Sb., o rozpočtových pravidlech územních rozpočtů, </w:t>
      </w:r>
      <w:r w:rsidRPr="002112D3">
        <w:rPr>
          <w:rFonts w:ascii="Arial" w:hAnsi="Arial" w:cs="Arial"/>
          <w:sz w:val="20"/>
          <w:szCs w:val="20"/>
        </w:rPr>
        <w:t xml:space="preserve">ve znění pozdějších předpisů a dalšími </w:t>
      </w:r>
      <w:r w:rsidR="000058AE">
        <w:rPr>
          <w:rFonts w:ascii="Arial" w:hAnsi="Arial" w:cs="Arial"/>
          <w:sz w:val="20"/>
          <w:szCs w:val="20"/>
        </w:rPr>
        <w:t xml:space="preserve">obecně závaznými </w:t>
      </w:r>
      <w:r w:rsidRPr="002112D3">
        <w:rPr>
          <w:rFonts w:ascii="Arial" w:hAnsi="Arial" w:cs="Arial"/>
          <w:sz w:val="20"/>
          <w:szCs w:val="20"/>
        </w:rPr>
        <w:t>právními předpisy.</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V příp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dě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 některého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této smlouvy, není touto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tností dotčen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celá smlouv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ost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tní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 zůstáv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jí v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w:t>
      </w:r>
    </w:p>
    <w:p w:rsidR="00206F4E" w:rsidRPr="002112D3" w:rsidRDefault="00206F4E" w:rsidP="00206F4E">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Změna názvu příjemce, změna právní formy příjemce (bez změny IČO), změna jeho sídla, změna čísla účtu mající vliv na vyplacení dotace</w:t>
      </w:r>
      <w:r w:rsidRPr="002112D3">
        <w:rPr>
          <w:rFonts w:ascii="Arial" w:hAnsi="Arial" w:cs="Arial"/>
          <w:bCs/>
          <w:sz w:val="20"/>
          <w:szCs w:val="20"/>
        </w:rPr>
        <w:t>,</w:t>
      </w:r>
      <w:r w:rsidRPr="002112D3">
        <w:rPr>
          <w:rFonts w:ascii="Arial" w:hAnsi="Arial" w:cs="Arial"/>
          <w:sz w:val="20"/>
          <w:szCs w:val="20"/>
        </w:rPr>
        <w:t xml:space="preserve"> není pro potřeby této smlouvy považována za změnu smlouvy. Příjemce je však povinen oznámit písemně poskytovateli na jeho adresu uvedenou v záhlaví smlouvy tuto změnu do 30 kalendářních dnů ode dne, kdy nastala tato změna. </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Změny této smlouvy lze činit pouze na základě dohody smluvních stran formou písemných a vzestupně číslovaných dodatků.</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Příjemce souhlasí se  zveřejněním podstatných náležitostí smlouvy v souladu s </w:t>
      </w:r>
      <w:proofErr w:type="spellStart"/>
      <w:r w:rsidRPr="002112D3">
        <w:rPr>
          <w:rFonts w:ascii="Arial" w:hAnsi="Arial" w:cs="Arial"/>
          <w:sz w:val="20"/>
          <w:szCs w:val="20"/>
        </w:rPr>
        <w:t>ust</w:t>
      </w:r>
      <w:proofErr w:type="spellEnd"/>
      <w:r w:rsidRPr="002112D3">
        <w:rPr>
          <w:rFonts w:ascii="Arial" w:hAnsi="Arial" w:cs="Arial"/>
          <w:sz w:val="20"/>
          <w:szCs w:val="20"/>
        </w:rPr>
        <w:t xml:space="preserve">. </w:t>
      </w:r>
      <w:proofErr w:type="gramStart"/>
      <w:r w:rsidRPr="002112D3">
        <w:rPr>
          <w:rFonts w:ascii="Arial" w:hAnsi="Arial" w:cs="Arial"/>
          <w:sz w:val="20"/>
          <w:szCs w:val="20"/>
        </w:rPr>
        <w:t>zákona</w:t>
      </w:r>
      <w:proofErr w:type="gramEnd"/>
      <w:r w:rsidRPr="002112D3">
        <w:rPr>
          <w:rFonts w:ascii="Arial" w:hAnsi="Arial" w:cs="Arial"/>
          <w:sz w:val="20"/>
          <w:szCs w:val="20"/>
        </w:rPr>
        <w:t xml:space="preserve"> č. 106/1999 Sb., o svobodném přístupu k informacím, ve znění pozdějších předpisů.</w:t>
      </w:r>
    </w:p>
    <w:p w:rsidR="00206F4E" w:rsidRPr="002112D3" w:rsidRDefault="00497B50" w:rsidP="00497B50">
      <w:pPr>
        <w:widowControl w:val="0"/>
        <w:numPr>
          <w:ilvl w:val="0"/>
          <w:numId w:val="8"/>
        </w:numPr>
        <w:tabs>
          <w:tab w:val="num" w:pos="426"/>
        </w:tabs>
        <w:spacing w:after="0" w:line="276" w:lineRule="auto"/>
        <w:jc w:val="both"/>
        <w:rPr>
          <w:rFonts w:ascii="Arial" w:hAnsi="Arial" w:cs="Arial"/>
          <w:sz w:val="20"/>
          <w:szCs w:val="20"/>
        </w:rPr>
      </w:pPr>
      <w:r w:rsidRPr="00497B50">
        <w:rPr>
          <w:rFonts w:ascii="Arial" w:hAnsi="Arial" w:cs="Arial"/>
          <w:sz w:val="20"/>
          <w:szCs w:val="20"/>
        </w:rPr>
        <w:t>Zpracování osobních údajů je prováděno v souladu s čl. 6 odst. 1 písm. b) NAŘÍZENÍ EVROPSKÉHO PARLAMENTU A RADY (EU) 2016/679 ze dne 27. dubna 2016 o ochraně fyzických osob v souvislosti se zpracováním osobních údajů a o volném pohybu těchto údajů a o zrušení směrnice 95/46/ES (obecné nařízení o ochraně osobních údajů), zpracování je nezbytné pro splnění smlouvy, jejíž smluvní stranou je subjekt údajů, nebo pro provedení opatření přijatých před uzavřením smlouvy na žádost tohoto subjektu údajů.</w:t>
      </w:r>
      <w:r>
        <w:rPr>
          <w:rFonts w:ascii="Arial" w:hAnsi="Arial" w:cs="Arial"/>
          <w:sz w:val="20"/>
          <w:szCs w:val="20"/>
        </w:rPr>
        <w:t xml:space="preserve">  </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highlight w:val="yellow"/>
        </w:rPr>
      </w:pPr>
      <w:r w:rsidRPr="002112D3">
        <w:rPr>
          <w:rFonts w:ascii="Arial" w:hAnsi="Arial" w:cs="Arial"/>
          <w:sz w:val="20"/>
          <w:szCs w:val="20"/>
          <w:highlight w:val="yellow"/>
        </w:rPr>
        <w:t>Smluvní strany berou na vědomí, že tato smlouva vyžaduje ke své účinnosti uveřejnění v registru smluv podle zákona č. 340/2015 Sb., o zvláštních podmínkách účinnosti některých smluv, uveřejňovaní těchto smluv a o registr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Smluvní strany prohlašují,</w:t>
      </w:r>
      <w:r w:rsidR="000058AE">
        <w:rPr>
          <w:rFonts w:ascii="Arial" w:hAnsi="Arial" w:cs="Arial"/>
          <w:sz w:val="20"/>
          <w:szCs w:val="20"/>
        </w:rPr>
        <w:t xml:space="preserve"> že tato smlouva byla sepsána na základě pravdivých údajů, podle jejich svobodné a vážné vůle,</w:t>
      </w:r>
      <w:r w:rsidRPr="002112D3">
        <w:rPr>
          <w:rFonts w:ascii="Arial" w:hAnsi="Arial" w:cs="Arial"/>
          <w:sz w:val="20"/>
          <w:szCs w:val="20"/>
        </w:rPr>
        <w:t xml:space="preserve"> že se s obsahem této smlouvy seznámily, obsahu porozuměly, vzaly jej na vědomí a souhlasí s ním, což stvrzují svými níže uvedenými podpisy/podpisy svých zástupců. Tato smlouva je vyhotovena a podepsána ve 2 stejnopisech s platností originálu, z nichž každá ze smluvních stran obdrží jeden.</w:t>
      </w:r>
    </w:p>
    <w:p w:rsidR="00206F4E" w:rsidRPr="002112D3" w:rsidRDefault="00206F4E" w:rsidP="00206F4E">
      <w:pPr>
        <w:widowControl w:val="0"/>
        <w:numPr>
          <w:ilvl w:val="0"/>
          <w:numId w:val="8"/>
        </w:numPr>
        <w:tabs>
          <w:tab w:val="num" w:pos="426"/>
        </w:tabs>
        <w:spacing w:after="0" w:line="276" w:lineRule="auto"/>
        <w:jc w:val="both"/>
        <w:rPr>
          <w:rFonts w:ascii="Arial" w:hAnsi="Arial" w:cs="Arial"/>
          <w:sz w:val="20"/>
          <w:szCs w:val="20"/>
          <w:highlight w:val="yellow"/>
        </w:rPr>
      </w:pPr>
      <w:r w:rsidRPr="002112D3">
        <w:rPr>
          <w:rFonts w:ascii="Arial" w:hAnsi="Arial" w:cs="Arial"/>
          <w:sz w:val="20"/>
          <w:szCs w:val="20"/>
          <w:highlight w:val="yellow"/>
        </w:rPr>
        <w:t xml:space="preserve">Tato smlouva je uzavřena dnem podpisu oběma smluvními stranami a nabývá účinnosti okamžikem zveřejnění v registru smluv dle zákona č. 340/2015 Sb., zákon o registru smluv, ve znění pozdějších předpisů. /Tato smlouva je uzavřena a nabývá účinnosti dnem popisu oběma smluvními stranami. </w:t>
      </w:r>
    </w:p>
    <w:p w:rsidR="00206F4E" w:rsidRPr="002112D3" w:rsidRDefault="00206F4E" w:rsidP="00206F4E">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112D3">
        <w:rPr>
          <w:rFonts w:ascii="Arial" w:hAnsi="Arial" w:cs="Arial"/>
          <w:sz w:val="20"/>
          <w:szCs w:val="20"/>
        </w:rPr>
        <w:t xml:space="preserve">Poskytnutí finančních prostředků z Fondu sociální pomoci a prevence města Uherské Hradiště a uzavření této veřejnoprávní </w:t>
      </w:r>
      <w:r w:rsidRPr="002112D3">
        <w:rPr>
          <w:rFonts w:ascii="Arial" w:hAnsi="Arial" w:cs="Arial"/>
          <w:color w:val="000000" w:themeColor="text1"/>
          <w:sz w:val="20"/>
          <w:szCs w:val="20"/>
        </w:rPr>
        <w:t xml:space="preserve">smlouvy bylo schváleno usnesením </w:t>
      </w:r>
      <w:r w:rsidRPr="002112D3">
        <w:rPr>
          <w:rFonts w:ascii="Arial" w:hAnsi="Arial" w:cs="Arial"/>
          <w:color w:val="000000" w:themeColor="text1"/>
          <w:sz w:val="20"/>
          <w:szCs w:val="20"/>
          <w:highlight w:val="yellow"/>
        </w:rPr>
        <w:t>Rady/Zastupitelstva</w:t>
      </w:r>
      <w:r w:rsidRPr="002112D3">
        <w:rPr>
          <w:rFonts w:ascii="Arial" w:hAnsi="Arial" w:cs="Arial"/>
          <w:color w:val="000000" w:themeColor="text1"/>
          <w:sz w:val="20"/>
          <w:szCs w:val="20"/>
        </w:rPr>
        <w:t xml:space="preserve"> města Uherské Hradiště č. </w:t>
      </w:r>
      <w:proofErr w:type="gramStart"/>
      <w:r w:rsidRPr="002112D3">
        <w:rPr>
          <w:rFonts w:ascii="Arial" w:hAnsi="Arial" w:cs="Arial"/>
          <w:color w:val="000000" w:themeColor="text1"/>
          <w:sz w:val="20"/>
          <w:szCs w:val="20"/>
          <w:highlight w:val="yellow"/>
        </w:rPr>
        <w:t>…..</w:t>
      </w:r>
      <w:r w:rsidRPr="002112D3">
        <w:rPr>
          <w:rFonts w:ascii="Arial" w:hAnsi="Arial" w:cs="Arial"/>
          <w:color w:val="000000" w:themeColor="text1"/>
          <w:sz w:val="20"/>
          <w:szCs w:val="20"/>
        </w:rPr>
        <w:t xml:space="preserve"> ze</w:t>
      </w:r>
      <w:proofErr w:type="gramEnd"/>
      <w:r w:rsidRPr="002112D3">
        <w:rPr>
          <w:rFonts w:ascii="Arial" w:hAnsi="Arial" w:cs="Arial"/>
          <w:color w:val="000000" w:themeColor="text1"/>
          <w:sz w:val="20"/>
          <w:szCs w:val="20"/>
        </w:rPr>
        <w:t xml:space="preserve"> dne </w:t>
      </w:r>
      <w:r w:rsidRPr="002112D3">
        <w:rPr>
          <w:rFonts w:ascii="Arial" w:hAnsi="Arial" w:cs="Arial"/>
          <w:color w:val="000000" w:themeColor="text1"/>
          <w:sz w:val="20"/>
          <w:szCs w:val="20"/>
          <w:highlight w:val="yellow"/>
        </w:rPr>
        <w:t>…..</w:t>
      </w:r>
      <w:r w:rsidRPr="002112D3">
        <w:rPr>
          <w:rFonts w:ascii="Arial" w:hAnsi="Arial" w:cs="Arial"/>
          <w:color w:val="000000" w:themeColor="text1"/>
          <w:sz w:val="20"/>
          <w:szCs w:val="20"/>
        </w:rPr>
        <w:t xml:space="preserve"> </w:t>
      </w:r>
    </w:p>
    <w:p w:rsidR="00206F4E" w:rsidRPr="002112D3" w:rsidRDefault="00206F4E" w:rsidP="00206F4E">
      <w:pPr>
        <w:tabs>
          <w:tab w:val="left" w:pos="360"/>
        </w:tabs>
        <w:spacing w:after="0" w:line="276" w:lineRule="auto"/>
        <w:jc w:val="both"/>
        <w:rPr>
          <w:rFonts w:ascii="Arial" w:hAnsi="Arial" w:cs="Arial"/>
          <w:sz w:val="20"/>
          <w:szCs w:val="20"/>
        </w:rPr>
      </w:pPr>
    </w:p>
    <w:p w:rsidR="00206F4E" w:rsidRPr="002112D3" w:rsidRDefault="00206F4E" w:rsidP="00206F4E">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V Uherském Hradišti dne ……</w:t>
      </w:r>
      <w:proofErr w:type="gramStart"/>
      <w:r w:rsidRPr="002112D3">
        <w:rPr>
          <w:rFonts w:ascii="Arial" w:eastAsia="Times New Roman" w:hAnsi="Arial" w:cs="Arial"/>
          <w:sz w:val="20"/>
          <w:szCs w:val="20"/>
          <w:lang w:eastAsia="cs-CZ"/>
        </w:rPr>
        <w:t>…..</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V …</w:t>
      </w:r>
      <w:proofErr w:type="gramEnd"/>
      <w:r w:rsidRPr="002112D3">
        <w:rPr>
          <w:rFonts w:ascii="Arial" w:eastAsia="Times New Roman" w:hAnsi="Arial" w:cs="Arial"/>
          <w:sz w:val="20"/>
          <w:szCs w:val="20"/>
          <w:lang w:eastAsia="cs-CZ"/>
        </w:rPr>
        <w:t>…………….. dne……….</w:t>
      </w:r>
      <w:r w:rsidRPr="002112D3">
        <w:rPr>
          <w:rFonts w:ascii="Arial" w:eastAsia="Times New Roman" w:hAnsi="Arial" w:cs="Arial"/>
          <w:sz w:val="20"/>
          <w:szCs w:val="20"/>
          <w:lang w:eastAsia="cs-CZ"/>
        </w:rPr>
        <w:tab/>
      </w: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206F4E" w:rsidRPr="002112D3" w:rsidRDefault="00206F4E" w:rsidP="00206F4E">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Ing. Stanislav Blaha</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 xml:space="preserve"> </w:t>
      </w:r>
    </w:p>
    <w:p w:rsidR="00206F4E" w:rsidRPr="002112D3" w:rsidRDefault="00206F4E" w:rsidP="00206F4E">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starosta města za Poskytovatele</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t>za Příjemce</w:t>
      </w:r>
    </w:p>
    <w:p w:rsidR="00206F4E" w:rsidRPr="002112D3" w:rsidRDefault="00206F4E" w:rsidP="00206F4E">
      <w:pPr>
        <w:tabs>
          <w:tab w:val="right" w:pos="9639"/>
        </w:tabs>
        <w:autoSpaceDE w:val="0"/>
        <w:autoSpaceDN w:val="0"/>
        <w:spacing w:before="60" w:after="0" w:line="276" w:lineRule="auto"/>
        <w:jc w:val="right"/>
        <w:rPr>
          <w:rFonts w:ascii="Arial" w:eastAsia="Times New Roman" w:hAnsi="Arial" w:cs="Arial"/>
          <w:highlight w:val="yellow"/>
          <w:lang w:eastAsia="cs-CZ"/>
        </w:rPr>
      </w:pPr>
    </w:p>
    <w:p w:rsidR="00206F4E" w:rsidRPr="002112D3" w:rsidRDefault="00206F4E" w:rsidP="00206F4E">
      <w:pPr>
        <w:widowControl w:val="0"/>
        <w:spacing w:after="0" w:line="276" w:lineRule="auto"/>
        <w:jc w:val="center"/>
        <w:rPr>
          <w:rFonts w:ascii="Arial" w:eastAsia="Times New Roman" w:hAnsi="Arial" w:cs="Arial"/>
          <w:sz w:val="24"/>
          <w:szCs w:val="24"/>
          <w:lang w:eastAsia="cs-CZ"/>
        </w:rPr>
        <w:sectPr w:rsidR="00206F4E" w:rsidRPr="002112D3" w:rsidSect="00737C5A">
          <w:footerReference w:type="default" r:id="rId8"/>
          <w:headerReference w:type="first" r:id="rId9"/>
          <w:footerReference w:type="first" r:id="rId10"/>
          <w:pgSz w:w="11907" w:h="16839" w:code="9"/>
          <w:pgMar w:top="1134" w:right="1275" w:bottom="1701" w:left="1644" w:header="737" w:footer="567" w:gutter="0"/>
          <w:cols w:space="708"/>
          <w:titlePg/>
          <w:docGrid w:linePitch="299"/>
        </w:sectPr>
      </w:pPr>
      <w:r w:rsidRPr="002112D3">
        <w:rPr>
          <w:rFonts w:ascii="Arial" w:eastAsia="Times New Roman" w:hAnsi="Arial" w:cs="Arial"/>
          <w:sz w:val="24"/>
          <w:szCs w:val="24"/>
          <w:lang w:eastAsia="cs-CZ"/>
        </w:rPr>
        <w:br w:type="page"/>
      </w:r>
    </w:p>
    <w:p w:rsidR="00206F4E" w:rsidRPr="002112D3" w:rsidRDefault="00206F4E" w:rsidP="00206F4E">
      <w:pPr>
        <w:widowControl w:val="0"/>
        <w:spacing w:after="0" w:line="276" w:lineRule="auto"/>
        <w:jc w:val="center"/>
        <w:rPr>
          <w:rFonts w:ascii="Arial" w:hAnsi="Arial" w:cs="Arial"/>
          <w:b/>
          <w:bCs/>
          <w:u w:val="single"/>
        </w:rPr>
      </w:pPr>
      <w:r w:rsidRPr="002112D3">
        <w:rPr>
          <w:rFonts w:ascii="Arial" w:hAnsi="Arial" w:cs="Arial"/>
          <w:b/>
          <w:bCs/>
          <w:u w:val="single"/>
        </w:rPr>
        <w:lastRenderedPageBreak/>
        <w:t>Příloha</w:t>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rPr>
          <w:rFonts w:ascii="Arial" w:hAnsi="Arial" w:cs="Arial"/>
          <w:b/>
          <w:bCs/>
        </w:rPr>
      </w:pPr>
    </w:p>
    <w:p w:rsidR="00206F4E" w:rsidRPr="002112D3" w:rsidRDefault="00206F4E" w:rsidP="00206F4E">
      <w:pPr>
        <w:widowControl w:val="0"/>
        <w:spacing w:after="0" w:line="276" w:lineRule="auto"/>
        <w:rPr>
          <w:sz w:val="24"/>
          <w:szCs w:val="24"/>
        </w:rPr>
      </w:pPr>
      <w:r w:rsidRPr="002112D3">
        <w:rPr>
          <w:rFonts w:ascii="Arial" w:hAnsi="Arial" w:cs="Arial"/>
          <w:b/>
          <w:bCs/>
        </w:rPr>
        <w:t>Název poskytovatele sociální služby:</w:t>
      </w:r>
      <w:r w:rsidRPr="002112D3">
        <w:rPr>
          <w:rFonts w:ascii="Arial" w:hAnsi="Arial" w:cs="Arial"/>
          <w:b/>
          <w:bCs/>
        </w:rPr>
        <w:tab/>
      </w:r>
      <w:r w:rsidRPr="002112D3">
        <w:rPr>
          <w:rFonts w:ascii="Arial" w:hAnsi="Arial" w:cs="Arial"/>
          <w:b/>
          <w:bCs/>
        </w:rPr>
        <w:tab/>
      </w:r>
      <w:r w:rsidRPr="002112D3">
        <w:rPr>
          <w:rFonts w:ascii="Arial" w:hAnsi="Arial" w:cs="Arial"/>
          <w:bCs/>
        </w:rPr>
        <w:t xml:space="preserve"> </w:t>
      </w:r>
    </w:p>
    <w:p w:rsidR="00206F4E" w:rsidRPr="002112D3" w:rsidRDefault="00206F4E" w:rsidP="00206F4E">
      <w:pPr>
        <w:widowControl w:val="0"/>
        <w:spacing w:after="0" w:line="276" w:lineRule="auto"/>
        <w:rPr>
          <w:rFonts w:ascii="Arial" w:hAnsi="Arial" w:cs="Arial"/>
          <w:bCs/>
        </w:rPr>
      </w:pPr>
      <w:r w:rsidRPr="002112D3">
        <w:rPr>
          <w:rFonts w:ascii="Arial" w:hAnsi="Arial" w:cs="Arial"/>
          <w:b/>
          <w:bCs/>
        </w:rPr>
        <w:t>Sídlo: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p>
    <w:p w:rsidR="00206F4E" w:rsidRPr="002112D3" w:rsidRDefault="00206F4E" w:rsidP="00206F4E">
      <w:pPr>
        <w:widowControl w:val="0"/>
        <w:spacing w:after="0" w:line="276" w:lineRule="auto"/>
        <w:rPr>
          <w:rFonts w:ascii="Arial" w:hAnsi="Arial" w:cs="Arial"/>
          <w:b/>
          <w:bCs/>
        </w:rPr>
      </w:pPr>
      <w:r w:rsidRPr="002112D3">
        <w:rPr>
          <w:rFonts w:ascii="Arial" w:hAnsi="Arial" w:cs="Arial"/>
          <w:b/>
          <w:bCs/>
        </w:rPr>
        <w:t>IČO: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p>
    <w:p w:rsidR="00206F4E" w:rsidRPr="002112D3" w:rsidRDefault="00206F4E" w:rsidP="00206F4E">
      <w:pPr>
        <w:widowControl w:val="0"/>
        <w:spacing w:after="0" w:line="276" w:lineRule="auto"/>
        <w:jc w:val="center"/>
        <w:rPr>
          <w:rFonts w:ascii="Arial" w:hAnsi="Arial" w:cs="Arial"/>
          <w:b/>
          <w:bCs/>
          <w:u w:val="single"/>
        </w:rPr>
      </w:pPr>
    </w:p>
    <w:p w:rsidR="00206F4E" w:rsidRPr="002112D3" w:rsidRDefault="00206F4E" w:rsidP="00206F4E">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55"/>
        <w:gridCol w:w="1560"/>
        <w:gridCol w:w="2551"/>
        <w:gridCol w:w="1843"/>
        <w:gridCol w:w="2126"/>
        <w:gridCol w:w="1559"/>
        <w:gridCol w:w="1701"/>
      </w:tblGrid>
      <w:tr w:rsidR="00206F4E" w:rsidRPr="002112D3" w:rsidTr="00C47857">
        <w:trPr>
          <w:trHeight w:val="690"/>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proofErr w:type="spellStart"/>
            <w:r w:rsidRPr="002112D3">
              <w:rPr>
                <w:rFonts w:ascii="Arial" w:hAnsi="Arial" w:cs="Arial"/>
                <w:b/>
                <w:bCs/>
                <w:sz w:val="20"/>
              </w:rPr>
              <w:t>Poř</w:t>
            </w:r>
            <w:proofErr w:type="spellEnd"/>
            <w:r w:rsidRPr="002112D3">
              <w:rPr>
                <w:rFonts w:ascii="Arial" w:hAnsi="Arial" w:cs="Arial"/>
                <w:b/>
                <w:bCs/>
                <w:sz w:val="20"/>
              </w:rPr>
              <w:t>. číslo</w:t>
            </w:r>
          </w:p>
        </w:tc>
        <w:tc>
          <w:tcPr>
            <w:tcW w:w="1955"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 xml:space="preserve">Druh </w:t>
            </w:r>
            <w:r w:rsidRPr="002112D3">
              <w:rPr>
                <w:rFonts w:ascii="Arial" w:hAnsi="Arial" w:cs="Arial"/>
                <w:b/>
                <w:bCs/>
                <w:sz w:val="20"/>
              </w:rPr>
              <w:br/>
              <w:t>sociální služby</w:t>
            </w:r>
          </w:p>
        </w:tc>
        <w:tc>
          <w:tcPr>
            <w:tcW w:w="1560"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Identifikátor sociální služby</w:t>
            </w:r>
          </w:p>
        </w:tc>
        <w:tc>
          <w:tcPr>
            <w:tcW w:w="255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Název sociální služby</w:t>
            </w:r>
          </w:p>
        </w:tc>
        <w:tc>
          <w:tcPr>
            <w:tcW w:w="1843"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forma poskytování</w:t>
            </w:r>
          </w:p>
        </w:tc>
        <w:tc>
          <w:tcPr>
            <w:tcW w:w="2126"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Převažující cílová skupina</w:t>
            </w:r>
          </w:p>
        </w:tc>
        <w:tc>
          <w:tcPr>
            <w:tcW w:w="1559"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0"/>
              </w:rPr>
            </w:pPr>
            <w:r w:rsidRPr="002112D3">
              <w:rPr>
                <w:rFonts w:ascii="Arial" w:hAnsi="Arial" w:cs="Arial"/>
                <w:b/>
                <w:bCs/>
                <w:sz w:val="20"/>
              </w:rPr>
              <w:t>Jednotka sociální služby</w:t>
            </w:r>
          </w:p>
        </w:tc>
        <w:tc>
          <w:tcPr>
            <w:tcW w:w="1701" w:type="dxa"/>
            <w:shd w:val="clear" w:color="auto" w:fill="auto"/>
            <w:vAlign w:val="center"/>
          </w:tcPr>
          <w:p w:rsidR="00206F4E" w:rsidRPr="002112D3" w:rsidRDefault="00206F4E" w:rsidP="00550AE9">
            <w:pPr>
              <w:widowControl w:val="0"/>
              <w:spacing w:after="0" w:line="276" w:lineRule="auto"/>
              <w:jc w:val="center"/>
              <w:rPr>
                <w:rFonts w:ascii="Arial" w:hAnsi="Arial" w:cs="Arial"/>
                <w:b/>
                <w:bCs/>
                <w:sz w:val="20"/>
              </w:rPr>
            </w:pPr>
            <w:r w:rsidRPr="002112D3">
              <w:rPr>
                <w:rFonts w:ascii="Arial" w:hAnsi="Arial" w:cs="Arial"/>
                <w:b/>
                <w:bCs/>
                <w:sz w:val="20"/>
              </w:rPr>
              <w:t>Finanční podpora na rok 202</w:t>
            </w:r>
            <w:r w:rsidR="00550AE9">
              <w:rPr>
                <w:rFonts w:ascii="Arial" w:hAnsi="Arial" w:cs="Arial"/>
                <w:b/>
                <w:bCs/>
                <w:sz w:val="20"/>
              </w:rPr>
              <w:t>4</w:t>
            </w:r>
            <w:r w:rsidRPr="002112D3">
              <w:rPr>
                <w:rFonts w:ascii="Arial" w:hAnsi="Arial" w:cs="Arial"/>
                <w:b/>
                <w:bCs/>
                <w:sz w:val="20"/>
              </w:rPr>
              <w:t xml:space="preserve"> (v Kč)</w:t>
            </w:r>
          </w:p>
        </w:tc>
      </w:tr>
      <w:tr w:rsidR="00206F4E" w:rsidRPr="002112D3" w:rsidTr="00C47857">
        <w:trPr>
          <w:trHeight w:val="659"/>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r w:rsidRPr="002112D3">
              <w:rPr>
                <w:rFonts w:ascii="Arial" w:hAnsi="Arial" w:cs="Arial"/>
                <w:bCs/>
                <w:sz w:val="20"/>
              </w:rPr>
              <w:t>1.</w:t>
            </w:r>
          </w:p>
        </w:tc>
        <w:tc>
          <w:tcPr>
            <w:tcW w:w="1955" w:type="dxa"/>
            <w:shd w:val="clear" w:color="auto" w:fill="auto"/>
            <w:vAlign w:val="center"/>
          </w:tcPr>
          <w:p w:rsidR="00206F4E" w:rsidRPr="002112D3" w:rsidRDefault="00206F4E" w:rsidP="00C47857">
            <w:pPr>
              <w:widowControl w:val="0"/>
              <w:spacing w:after="0" w:line="276" w:lineRule="auto"/>
              <w:rPr>
                <w:rFonts w:ascii="Arial" w:hAnsi="Arial" w:cs="Arial"/>
                <w:bCs/>
                <w:sz w:val="20"/>
              </w:rPr>
            </w:pPr>
          </w:p>
        </w:tc>
        <w:tc>
          <w:tcPr>
            <w:tcW w:w="156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2551" w:type="dxa"/>
            <w:shd w:val="clear" w:color="auto" w:fill="auto"/>
            <w:vAlign w:val="center"/>
          </w:tcPr>
          <w:p w:rsidR="00206F4E" w:rsidRPr="002112D3" w:rsidRDefault="00206F4E" w:rsidP="00C47857">
            <w:pPr>
              <w:widowControl w:val="0"/>
              <w:spacing w:after="0" w:line="276" w:lineRule="auto"/>
              <w:rPr>
                <w:rFonts w:ascii="Arial" w:hAnsi="Arial" w:cs="Arial"/>
                <w:bCs/>
                <w:sz w:val="20"/>
              </w:rPr>
            </w:pPr>
          </w:p>
        </w:tc>
        <w:tc>
          <w:tcPr>
            <w:tcW w:w="1843"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2126"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1559"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170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4"/>
              </w:rPr>
            </w:pPr>
          </w:p>
        </w:tc>
      </w:tr>
      <w:tr w:rsidR="00206F4E" w:rsidRPr="002112D3" w:rsidTr="00C47857">
        <w:trPr>
          <w:trHeight w:val="659"/>
        </w:trPr>
        <w:tc>
          <w:tcPr>
            <w:tcW w:w="88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r w:rsidRPr="002112D3">
              <w:rPr>
                <w:rFonts w:ascii="Arial" w:hAnsi="Arial" w:cs="Arial"/>
                <w:bCs/>
                <w:sz w:val="20"/>
              </w:rPr>
              <w:t>2.</w:t>
            </w:r>
          </w:p>
        </w:tc>
        <w:tc>
          <w:tcPr>
            <w:tcW w:w="1955" w:type="dxa"/>
            <w:shd w:val="clear" w:color="auto" w:fill="auto"/>
            <w:vAlign w:val="center"/>
          </w:tcPr>
          <w:p w:rsidR="00206F4E" w:rsidRPr="002112D3" w:rsidRDefault="00206F4E" w:rsidP="00C47857">
            <w:pPr>
              <w:widowControl w:val="0"/>
              <w:spacing w:after="0" w:line="276" w:lineRule="auto"/>
              <w:rPr>
                <w:rFonts w:ascii="Arial" w:hAnsi="Arial" w:cs="Arial"/>
                <w:bCs/>
                <w:sz w:val="20"/>
              </w:rPr>
            </w:pPr>
          </w:p>
        </w:tc>
        <w:tc>
          <w:tcPr>
            <w:tcW w:w="1560"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2551" w:type="dxa"/>
            <w:shd w:val="clear" w:color="auto" w:fill="auto"/>
            <w:vAlign w:val="center"/>
          </w:tcPr>
          <w:p w:rsidR="00206F4E" w:rsidRPr="002112D3" w:rsidRDefault="00206F4E" w:rsidP="00C47857">
            <w:pPr>
              <w:widowControl w:val="0"/>
              <w:spacing w:after="0" w:line="276" w:lineRule="auto"/>
              <w:rPr>
                <w:rFonts w:ascii="Arial" w:hAnsi="Arial" w:cs="Arial"/>
                <w:bCs/>
                <w:sz w:val="20"/>
              </w:rPr>
            </w:pPr>
          </w:p>
        </w:tc>
        <w:tc>
          <w:tcPr>
            <w:tcW w:w="1843"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2126"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1559" w:type="dxa"/>
            <w:shd w:val="clear" w:color="auto" w:fill="auto"/>
            <w:vAlign w:val="center"/>
          </w:tcPr>
          <w:p w:rsidR="00206F4E" w:rsidRPr="002112D3" w:rsidRDefault="00206F4E" w:rsidP="00C47857">
            <w:pPr>
              <w:widowControl w:val="0"/>
              <w:spacing w:after="0" w:line="276" w:lineRule="auto"/>
              <w:jc w:val="center"/>
              <w:rPr>
                <w:rFonts w:ascii="Arial" w:hAnsi="Arial" w:cs="Arial"/>
                <w:bCs/>
                <w:sz w:val="20"/>
              </w:rPr>
            </w:pPr>
          </w:p>
        </w:tc>
        <w:tc>
          <w:tcPr>
            <w:tcW w:w="170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4"/>
              </w:rPr>
            </w:pPr>
          </w:p>
        </w:tc>
      </w:tr>
      <w:tr w:rsidR="00206F4E" w:rsidRPr="002112D3" w:rsidTr="00C47857">
        <w:trPr>
          <w:trHeight w:val="732"/>
        </w:trPr>
        <w:tc>
          <w:tcPr>
            <w:tcW w:w="12474" w:type="dxa"/>
            <w:gridSpan w:val="7"/>
            <w:shd w:val="clear" w:color="auto" w:fill="auto"/>
            <w:vAlign w:val="center"/>
          </w:tcPr>
          <w:p w:rsidR="00206F4E" w:rsidRPr="002112D3" w:rsidRDefault="00206F4E" w:rsidP="00C47857">
            <w:pPr>
              <w:widowControl w:val="0"/>
              <w:spacing w:after="0" w:line="276" w:lineRule="auto"/>
              <w:rPr>
                <w:rFonts w:ascii="Arial" w:hAnsi="Arial" w:cs="Arial"/>
                <w:b/>
                <w:bCs/>
              </w:rPr>
            </w:pPr>
            <w:r w:rsidRPr="002112D3">
              <w:rPr>
                <w:rFonts w:ascii="Arial" w:hAnsi="Arial" w:cs="Arial"/>
                <w:b/>
                <w:bCs/>
              </w:rPr>
              <w:t xml:space="preserve">Celkem </w:t>
            </w:r>
          </w:p>
        </w:tc>
        <w:tc>
          <w:tcPr>
            <w:tcW w:w="1701" w:type="dxa"/>
            <w:shd w:val="clear" w:color="auto" w:fill="auto"/>
            <w:vAlign w:val="center"/>
          </w:tcPr>
          <w:p w:rsidR="00206F4E" w:rsidRPr="002112D3" w:rsidRDefault="00206F4E" w:rsidP="00C47857">
            <w:pPr>
              <w:widowControl w:val="0"/>
              <w:spacing w:after="0" w:line="276" w:lineRule="auto"/>
              <w:jc w:val="center"/>
              <w:rPr>
                <w:rFonts w:ascii="Arial" w:hAnsi="Arial" w:cs="Arial"/>
                <w:b/>
                <w:bCs/>
                <w:sz w:val="28"/>
              </w:rPr>
            </w:pPr>
          </w:p>
        </w:tc>
      </w:tr>
    </w:tbl>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jc w:val="both"/>
        <w:rPr>
          <w:rFonts w:ascii="Arial" w:hAnsi="Arial" w:cs="Arial"/>
          <w:bCs/>
        </w:rPr>
      </w:pPr>
    </w:p>
    <w:p w:rsidR="00206F4E" w:rsidRPr="002112D3" w:rsidRDefault="00206F4E" w:rsidP="00206F4E">
      <w:pPr>
        <w:widowControl w:val="0"/>
        <w:spacing w:after="0" w:line="276" w:lineRule="auto"/>
        <w:rPr>
          <w:rFonts w:ascii="Georgia" w:hAnsi="Georgia"/>
        </w:rPr>
      </w:pPr>
    </w:p>
    <w:p w:rsidR="00206F4E" w:rsidRPr="002112D3" w:rsidRDefault="00206F4E" w:rsidP="00206F4E">
      <w:pPr>
        <w:widowControl w:val="0"/>
        <w:spacing w:after="0" w:line="240" w:lineRule="auto"/>
      </w:pPr>
    </w:p>
    <w:p w:rsidR="00206F4E" w:rsidRDefault="00206F4E" w:rsidP="00206F4E"/>
    <w:p w:rsidR="00206F4E" w:rsidRDefault="00206F4E" w:rsidP="00206F4E"/>
    <w:p w:rsidR="009241F5" w:rsidRDefault="009241F5"/>
    <w:sectPr w:rsidR="009241F5"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D0" w:rsidRDefault="00276AD0">
      <w:pPr>
        <w:spacing w:after="0" w:line="240" w:lineRule="auto"/>
      </w:pPr>
      <w:r>
        <w:separator/>
      </w:r>
    </w:p>
  </w:endnote>
  <w:endnote w:type="continuationSeparator" w:id="0">
    <w:p w:rsidR="00276AD0" w:rsidRDefault="0027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771636">
      <w:rPr>
        <w:rFonts w:ascii="Georgia" w:eastAsia="Times New Roman" w:hAnsi="Georgia" w:cs="Georgia"/>
        <w:noProof/>
        <w:sz w:val="16"/>
        <w:szCs w:val="16"/>
      </w:rPr>
      <w:t>6</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77163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276A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00266DDC">
      <w:rPr>
        <w:rFonts w:ascii="Georgia" w:eastAsia="Times New Roman" w:hAnsi="Georgia" w:cs="Georgia"/>
        <w:sz w:val="16"/>
        <w:szCs w:val="16"/>
      </w:rPr>
      <w:t>1422868349/0800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77163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771636">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550AE9"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550AE9"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276A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D0" w:rsidRDefault="00276AD0">
      <w:pPr>
        <w:spacing w:after="0" w:line="240" w:lineRule="auto"/>
      </w:pPr>
      <w:r>
        <w:separator/>
      </w:r>
    </w:p>
  </w:footnote>
  <w:footnote w:type="continuationSeparator" w:id="0">
    <w:p w:rsidR="00276AD0" w:rsidRDefault="00276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D" w:rsidRDefault="00550AE9" w:rsidP="00231E9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Pr="00801904">
      <w:rPr>
        <w:rFonts w:ascii="Arial" w:hAnsi="Arial" w:cs="Arial"/>
        <w:b/>
        <w:color w:val="000000" w:themeColor="text1"/>
        <w:sz w:val="28"/>
        <w:szCs w:val="20"/>
      </w:rPr>
      <w:t>rok/0000/odbor</w:t>
    </w:r>
  </w:p>
  <w:p w:rsidR="00416CE0" w:rsidRPr="00B81C7D" w:rsidRDefault="00550AE9" w:rsidP="00B81C7D">
    <w:pPr>
      <w:pStyle w:val="Zhlav"/>
      <w:tabs>
        <w:tab w:val="clear" w:pos="4536"/>
        <w:tab w:val="clear" w:pos="9072"/>
        <w:tab w:val="left" w:pos="5443"/>
      </w:tabs>
      <w:spacing w:after="720"/>
      <w:rPr>
        <w:rFonts w:ascii="Arial" w:hAnsi="Arial" w:cs="Arial"/>
        <w:b/>
        <w:sz w:val="20"/>
        <w:szCs w:val="20"/>
      </w:rPr>
    </w:pP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164CBB2C" wp14:editId="18B54268">
          <wp:simplePos x="0" y="0"/>
          <wp:positionH relativeFrom="page">
            <wp:posOffset>467995</wp:posOffset>
          </wp:positionH>
          <wp:positionV relativeFrom="page">
            <wp:posOffset>467995</wp:posOffset>
          </wp:positionV>
          <wp:extent cx="2174400" cy="468000"/>
          <wp:effectExtent l="0" t="0" r="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276A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069AA652"/>
    <w:lvl w:ilvl="0" w:tplc="82EC03CC">
      <w:start w:val="1"/>
      <w:numFmt w:val="lowerLetter"/>
      <w:lvlText w:val="%1)"/>
      <w:lvlJc w:val="left"/>
      <w:pPr>
        <w:tabs>
          <w:tab w:val="num" w:pos="714"/>
        </w:tabs>
        <w:ind w:left="714"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4E"/>
    <w:rsid w:val="000058AE"/>
    <w:rsid w:val="00036871"/>
    <w:rsid w:val="00095106"/>
    <w:rsid w:val="00206F4E"/>
    <w:rsid w:val="0023430C"/>
    <w:rsid w:val="00266DDC"/>
    <w:rsid w:val="00276AD0"/>
    <w:rsid w:val="00387400"/>
    <w:rsid w:val="00497B50"/>
    <w:rsid w:val="004C5E78"/>
    <w:rsid w:val="00550AE9"/>
    <w:rsid w:val="005D6ABA"/>
    <w:rsid w:val="00611C20"/>
    <w:rsid w:val="007419F3"/>
    <w:rsid w:val="00771636"/>
    <w:rsid w:val="00804B90"/>
    <w:rsid w:val="009241F5"/>
    <w:rsid w:val="009A489F"/>
    <w:rsid w:val="00A71AD5"/>
    <w:rsid w:val="00BA13B0"/>
    <w:rsid w:val="00EF3D84"/>
    <w:rsid w:val="00F80F29"/>
    <w:rsid w:val="00FA5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723DCF-28D5-42FA-ACBD-D0907B5A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F4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6F4E"/>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206F4E"/>
  </w:style>
  <w:style w:type="paragraph" w:styleId="Odstavecseseznamem">
    <w:name w:val="List Paragraph"/>
    <w:basedOn w:val="Normln"/>
    <w:uiPriority w:val="34"/>
    <w:qFormat/>
    <w:rsid w:val="00206F4E"/>
    <w:pPr>
      <w:ind w:left="720"/>
      <w:contextualSpacing/>
    </w:pPr>
  </w:style>
  <w:style w:type="paragraph" w:styleId="Zpat">
    <w:name w:val="footer"/>
    <w:basedOn w:val="Normln"/>
    <w:link w:val="ZpatChar"/>
    <w:uiPriority w:val="99"/>
    <w:unhideWhenUsed/>
    <w:rsid w:val="00266DD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2992</Words>
  <Characters>17654</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Martináková Ivana</cp:lastModifiedBy>
  <cp:revision>14</cp:revision>
  <cp:lastPrinted>2023-11-06T10:45:00Z</cp:lastPrinted>
  <dcterms:created xsi:type="dcterms:W3CDTF">2023-10-06T05:33:00Z</dcterms:created>
  <dcterms:modified xsi:type="dcterms:W3CDTF">2023-11-06T11:20:00Z</dcterms:modified>
</cp:coreProperties>
</file>